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35BC" w14:textId="77777777" w:rsidR="00157B2D" w:rsidRPr="00A16A79" w:rsidRDefault="00157B2D" w:rsidP="00E50F52">
      <w:pPr>
        <w:pStyle w:val="Title"/>
      </w:pPr>
      <w:bookmarkStart w:id="0" w:name="_Hlk55548623"/>
      <w:bookmarkStart w:id="1" w:name="_GoBack"/>
      <w:bookmarkEnd w:id="0"/>
      <w:bookmarkEnd w:id="1"/>
      <w:r w:rsidRPr="00A16A79">
        <w:t xml:space="preserve">The Office of Acquisition and Logistics Management </w:t>
      </w:r>
      <w:r w:rsidRPr="00E50F52">
        <w:t>Newsletter</w:t>
      </w:r>
    </w:p>
    <w:p w14:paraId="350E50CD" w14:textId="16217CB3" w:rsidR="00157B2D" w:rsidRPr="00A16A79" w:rsidRDefault="00DD4480" w:rsidP="00E50F52">
      <w:pPr>
        <w:pStyle w:val="Title"/>
      </w:pPr>
      <w:r w:rsidRPr="00A16A79">
        <w:t>2020</w:t>
      </w:r>
      <w:r w:rsidR="001221B2">
        <w:t xml:space="preserve"> 4</w:t>
      </w:r>
      <w:r w:rsidR="001221B2" w:rsidRPr="001221B2">
        <w:rPr>
          <w:vertAlign w:val="superscript"/>
        </w:rPr>
        <w:t>th</w:t>
      </w:r>
      <w:r w:rsidR="001221B2">
        <w:t xml:space="preserve"> </w:t>
      </w:r>
      <w:r w:rsidR="00157B2D" w:rsidRPr="00A16A79">
        <w:t xml:space="preserve">Quarter </w:t>
      </w:r>
    </w:p>
    <w:p w14:paraId="78B8986D" w14:textId="5CBC8E53" w:rsidR="00E168A5" w:rsidRDefault="00E168A5" w:rsidP="00556AD2">
      <w:pPr>
        <w:spacing w:line="240" w:lineRule="auto"/>
        <w:rPr>
          <w:sz w:val="24"/>
          <w:szCs w:val="24"/>
        </w:rPr>
      </w:pPr>
    </w:p>
    <w:p w14:paraId="2B75E0CF" w14:textId="4414A3C9" w:rsidR="00E168A5" w:rsidRPr="00E50F52" w:rsidRDefault="001221B2" w:rsidP="00E50F52">
      <w:pPr>
        <w:pStyle w:val="Heading1"/>
      </w:pPr>
      <w:r>
        <w:t>GSA Order Line Materials (OLMs): What You Need to Know</w:t>
      </w:r>
    </w:p>
    <w:p w14:paraId="3983139C" w14:textId="3923EAA4" w:rsidR="001221B2" w:rsidRPr="00E21CC1" w:rsidRDefault="001221B2" w:rsidP="001221B2">
      <w:pPr>
        <w:spacing w:after="0" w:line="240" w:lineRule="auto"/>
        <w:rPr>
          <w:sz w:val="24"/>
          <w:szCs w:val="24"/>
        </w:rPr>
      </w:pPr>
      <w:r w:rsidRPr="00E21CC1">
        <w:rPr>
          <w:sz w:val="24"/>
          <w:szCs w:val="24"/>
        </w:rPr>
        <w:t>Have you ever tried to place a GSA Federal Supply Schedule (FSS) order, but needed some supporting items</w:t>
      </w:r>
      <w:r w:rsidR="00121D37">
        <w:rPr>
          <w:sz w:val="24"/>
          <w:szCs w:val="24"/>
        </w:rPr>
        <w:t xml:space="preserve"> </w:t>
      </w:r>
      <w:r w:rsidRPr="00E21CC1">
        <w:rPr>
          <w:sz w:val="24"/>
          <w:szCs w:val="24"/>
        </w:rPr>
        <w:t xml:space="preserve">not </w:t>
      </w:r>
      <w:r w:rsidR="00A8321E" w:rsidRPr="00E21CC1">
        <w:rPr>
          <w:sz w:val="24"/>
          <w:szCs w:val="24"/>
        </w:rPr>
        <w:t xml:space="preserve">listed </w:t>
      </w:r>
      <w:r w:rsidRPr="00E21CC1">
        <w:rPr>
          <w:sz w:val="24"/>
          <w:szCs w:val="24"/>
        </w:rPr>
        <w:t xml:space="preserve">on the schedule? You may have procured them as open market items using the procedures found at </w:t>
      </w:r>
      <w:hyperlink r:id="rId8" w:anchor="FAR_8_402" w:tooltip="FAR 8.402" w:history="1">
        <w:r w:rsidRPr="00E21CC1">
          <w:rPr>
            <w:rStyle w:val="Hyperlink"/>
            <w:sz w:val="24"/>
            <w:szCs w:val="24"/>
          </w:rPr>
          <w:t>FAR 8.402</w:t>
        </w:r>
      </w:hyperlink>
      <w:r w:rsidRPr="00E21CC1">
        <w:rPr>
          <w:sz w:val="24"/>
          <w:szCs w:val="24"/>
        </w:rPr>
        <w:t>(f). These days</w:t>
      </w:r>
      <w:r w:rsidR="00A8321E" w:rsidRPr="00E21CC1">
        <w:rPr>
          <w:sz w:val="24"/>
          <w:szCs w:val="24"/>
        </w:rPr>
        <w:t xml:space="preserve">, </w:t>
      </w:r>
      <w:r w:rsidRPr="00E21CC1">
        <w:rPr>
          <w:sz w:val="24"/>
          <w:szCs w:val="24"/>
        </w:rPr>
        <w:t>you may see these types of items quoted as Order Line Materials (OLMs) and wondered how procuring products and/or services using OLM procedures differ from open market procedures.</w:t>
      </w:r>
    </w:p>
    <w:p w14:paraId="74940CD4" w14:textId="77777777" w:rsidR="001221B2" w:rsidRPr="00E21CC1" w:rsidRDefault="001221B2" w:rsidP="001221B2">
      <w:pPr>
        <w:spacing w:after="0" w:line="240" w:lineRule="auto"/>
        <w:rPr>
          <w:sz w:val="24"/>
          <w:szCs w:val="24"/>
        </w:rPr>
      </w:pPr>
    </w:p>
    <w:p w14:paraId="6EBD13F4" w14:textId="77777777" w:rsidR="001221B2" w:rsidRPr="00E21CC1" w:rsidRDefault="001221B2" w:rsidP="001221B2">
      <w:pPr>
        <w:spacing w:after="0" w:line="240" w:lineRule="auto"/>
        <w:rPr>
          <w:sz w:val="24"/>
          <w:szCs w:val="24"/>
        </w:rPr>
      </w:pPr>
      <w:r w:rsidRPr="00E21CC1">
        <w:rPr>
          <w:sz w:val="24"/>
          <w:szCs w:val="24"/>
        </w:rPr>
        <w:t>Historically, when supporting items are not available under a schedule, it could be burdensome for ordering contracting officers (OCO) to add them to the order as open market items. The OCO had to follow all the open market acquisition regulations (publicizing, competition, contracting methods, etc.). OLMs came about to streamline the process. OLMs are purchased under authority of the FSS program under</w:t>
      </w:r>
      <w:hyperlink r:id="rId9" w:anchor="FAR_8_403" w:tooltip=" FAR 8.403" w:history="1">
        <w:r w:rsidRPr="00E21CC1">
          <w:rPr>
            <w:rStyle w:val="Hyperlink"/>
            <w:sz w:val="24"/>
            <w:szCs w:val="24"/>
          </w:rPr>
          <w:t xml:space="preserve"> FAR 8.403</w:t>
        </w:r>
      </w:hyperlink>
      <w:r w:rsidRPr="00E21CC1">
        <w:rPr>
          <w:sz w:val="24"/>
          <w:szCs w:val="24"/>
        </w:rPr>
        <w:t xml:space="preserve">(b) and  </w:t>
      </w:r>
      <w:hyperlink r:id="rId10" w:tooltip="GSAR Subpart 538.72 – Order-level Materials" w:history="1">
        <w:r w:rsidRPr="00E21CC1">
          <w:rPr>
            <w:rStyle w:val="Hyperlink"/>
            <w:sz w:val="24"/>
            <w:szCs w:val="24"/>
          </w:rPr>
          <w:t>GSAR subpart 538.72 – Order-level Materials</w:t>
        </w:r>
      </w:hyperlink>
      <w:r w:rsidRPr="00E21CC1">
        <w:rPr>
          <w:sz w:val="24"/>
          <w:szCs w:val="24"/>
        </w:rPr>
        <w:t>.</w:t>
      </w:r>
    </w:p>
    <w:p w14:paraId="66B36A0E" w14:textId="77777777" w:rsidR="001221B2" w:rsidRPr="00E21CC1" w:rsidRDefault="001221B2" w:rsidP="001221B2">
      <w:pPr>
        <w:spacing w:after="0" w:line="240" w:lineRule="auto"/>
        <w:rPr>
          <w:sz w:val="24"/>
          <w:szCs w:val="24"/>
        </w:rPr>
      </w:pPr>
    </w:p>
    <w:p w14:paraId="0BF88304" w14:textId="77777777" w:rsidR="001221B2" w:rsidRPr="00E21CC1" w:rsidRDefault="001221B2" w:rsidP="001221B2">
      <w:pPr>
        <w:spacing w:after="0" w:line="240" w:lineRule="auto"/>
        <w:rPr>
          <w:sz w:val="24"/>
          <w:szCs w:val="24"/>
        </w:rPr>
      </w:pPr>
      <w:r w:rsidRPr="00E21CC1">
        <w:rPr>
          <w:sz w:val="24"/>
          <w:szCs w:val="24"/>
        </w:rPr>
        <w:t xml:space="preserve">In order to use OLM procedures, the underlying GSA contract must have the OLM SIN. OLM SINs cannot be used as a stand-alone SIN; OLM SINs only support other SINs on an order. </w:t>
      </w:r>
    </w:p>
    <w:p w14:paraId="57C6E175" w14:textId="77777777" w:rsidR="001221B2" w:rsidRPr="00E21CC1" w:rsidRDefault="001221B2" w:rsidP="001221B2">
      <w:pPr>
        <w:spacing w:after="0" w:line="240" w:lineRule="auto"/>
        <w:rPr>
          <w:sz w:val="24"/>
          <w:szCs w:val="24"/>
        </w:rPr>
      </w:pPr>
    </w:p>
    <w:p w14:paraId="03C41768" w14:textId="77777777" w:rsidR="001221B2" w:rsidRPr="00E21CC1" w:rsidRDefault="001221B2" w:rsidP="001221B2">
      <w:pPr>
        <w:spacing w:after="0" w:line="240" w:lineRule="auto"/>
        <w:rPr>
          <w:sz w:val="24"/>
          <w:szCs w:val="24"/>
        </w:rPr>
      </w:pPr>
      <w:r w:rsidRPr="00E21CC1">
        <w:rPr>
          <w:sz w:val="24"/>
          <w:szCs w:val="24"/>
        </w:rPr>
        <w:t xml:space="preserve">Let’s look at the OLM </w:t>
      </w:r>
      <w:hyperlink r:id="rId11" w:tooltip="SIN" w:history="1">
        <w:r w:rsidRPr="00E21CC1">
          <w:rPr>
            <w:rStyle w:val="Hyperlink"/>
            <w:sz w:val="24"/>
            <w:szCs w:val="24"/>
          </w:rPr>
          <w:t>SIN</w:t>
        </w:r>
      </w:hyperlink>
      <w:r w:rsidRPr="00E21CC1">
        <w:rPr>
          <w:sz w:val="24"/>
          <w:szCs w:val="24"/>
        </w:rPr>
        <w:t xml:space="preserve"> description for more information about OLMs:</w:t>
      </w:r>
    </w:p>
    <w:p w14:paraId="14C2925A" w14:textId="77777777" w:rsidR="001221B2" w:rsidRPr="00E21CC1" w:rsidRDefault="001221B2" w:rsidP="001221B2">
      <w:pPr>
        <w:spacing w:after="0" w:line="240" w:lineRule="auto"/>
        <w:rPr>
          <w:sz w:val="24"/>
          <w:szCs w:val="24"/>
        </w:rPr>
      </w:pPr>
    </w:p>
    <w:p w14:paraId="07754890"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OLMs are supplies and/or services acquired in direct support of an individual task or delivery order placed against a Schedule contract or BPA. OLM pricing is not established at the Schedule contract or BPA level, but at the order level. Since OLMs are identified and acquired at the order level, the ordering contracting officer (OCO) is responsible for making a fair and reasonable price determination for all OLMs.</w:t>
      </w:r>
    </w:p>
    <w:p w14:paraId="396D62D4" w14:textId="77777777" w:rsidR="001221B2" w:rsidRPr="00E21CC1" w:rsidRDefault="001221B2" w:rsidP="001221B2">
      <w:pPr>
        <w:spacing w:after="0" w:line="240" w:lineRule="auto"/>
        <w:ind w:left="180"/>
        <w:rPr>
          <w:rFonts w:eastAsia="Times New Roman" w:cstheme="minorHAnsi"/>
          <w:i/>
          <w:iCs/>
          <w:color w:val="222222"/>
          <w:sz w:val="24"/>
          <w:szCs w:val="24"/>
        </w:rPr>
      </w:pPr>
    </w:p>
    <w:p w14:paraId="3475206E"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OLMs are procured under a special ordering procedure that simplifies the process for acquiring supplies and services necessary to support individual task or delivery orders placed against a Schedule contract or BPA. Using this new procedure, ancillary supplies and services not known at the time of the Schedule award may be included and priced at the order level</w:t>
      </w:r>
    </w:p>
    <w:p w14:paraId="0C69E565" w14:textId="77777777" w:rsidR="001221B2" w:rsidRPr="00E21CC1" w:rsidRDefault="001221B2" w:rsidP="001221B2">
      <w:pPr>
        <w:spacing w:after="0" w:line="240" w:lineRule="auto"/>
        <w:ind w:left="180"/>
        <w:rPr>
          <w:rFonts w:eastAsia="Times New Roman" w:cstheme="minorHAnsi"/>
          <w:i/>
          <w:iCs/>
          <w:color w:val="222222"/>
          <w:sz w:val="24"/>
          <w:szCs w:val="24"/>
        </w:rPr>
      </w:pPr>
    </w:p>
    <w:p w14:paraId="55920777"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 SIN-Level Requirements/Ordering Instructions</w:t>
      </w:r>
    </w:p>
    <w:p w14:paraId="5E354DC6"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OLMs are:</w:t>
      </w:r>
    </w:p>
    <w:p w14:paraId="3DF59433" w14:textId="77777777"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 xml:space="preserve">Purchased under the authority of the FSS Program  </w:t>
      </w:r>
    </w:p>
    <w:p w14:paraId="11433841" w14:textId="77777777"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Unknown until an order is placed</w:t>
      </w:r>
    </w:p>
    <w:p w14:paraId="5AD1D347" w14:textId="77777777"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Defined and priced at the ordering activity level in accordance with GSAR clause 552.238-115 Special Ordering Procedures for the Acquisition of Order-Level Materials. (Price analysis for OLMs is not conducted when awarding the FSS contract or FSS BPA; therefore, GSAR 538.270 and 538.271 do not apply to OLMs)</w:t>
      </w:r>
    </w:p>
    <w:p w14:paraId="3EA33770" w14:textId="77777777"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Only authorized for use in direct support of another awarded SIN.</w:t>
      </w:r>
    </w:p>
    <w:p w14:paraId="1692AC11" w14:textId="77777777"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Only authorized for inclusion at the order level under a Time-and-Materials (T&amp;M) or Labor-Hour (LH) Contract Line Item Number (CLIN)</w:t>
      </w:r>
    </w:p>
    <w:p w14:paraId="13DFBCA1" w14:textId="44B7B08B" w:rsidR="001221B2" w:rsidRPr="00E21CC1" w:rsidRDefault="001221B2" w:rsidP="001221B2">
      <w:pPr>
        <w:pStyle w:val="ListParagraph"/>
        <w:numPr>
          <w:ilvl w:val="0"/>
          <w:numId w:val="9"/>
        </w:numPr>
        <w:ind w:left="540" w:hanging="180"/>
        <w:rPr>
          <w:rFonts w:eastAsia="Times New Roman" w:cstheme="minorHAnsi"/>
          <w:i/>
          <w:iCs/>
          <w:color w:val="222222"/>
          <w:sz w:val="24"/>
          <w:szCs w:val="24"/>
        </w:rPr>
      </w:pPr>
      <w:r w:rsidRPr="00E21CC1">
        <w:rPr>
          <w:rFonts w:eastAsia="Times New Roman" w:cstheme="minorHAnsi"/>
          <w:i/>
          <w:iCs/>
          <w:color w:val="222222"/>
          <w:sz w:val="24"/>
          <w:szCs w:val="24"/>
        </w:rPr>
        <w:t xml:space="preserve">Subject to a Not </w:t>
      </w:r>
      <w:r w:rsidR="00655CE9" w:rsidRPr="00E21CC1">
        <w:rPr>
          <w:rFonts w:eastAsia="Times New Roman" w:cstheme="minorHAnsi"/>
          <w:i/>
          <w:iCs/>
          <w:color w:val="222222"/>
          <w:sz w:val="24"/>
          <w:szCs w:val="24"/>
        </w:rPr>
        <w:t>to</w:t>
      </w:r>
      <w:r w:rsidRPr="00E21CC1">
        <w:rPr>
          <w:rFonts w:eastAsia="Times New Roman" w:cstheme="minorHAnsi"/>
          <w:i/>
          <w:iCs/>
          <w:color w:val="222222"/>
          <w:sz w:val="24"/>
          <w:szCs w:val="24"/>
        </w:rPr>
        <w:t xml:space="preserve"> Exceed (NTE) ceiling price</w:t>
      </w:r>
    </w:p>
    <w:p w14:paraId="095425AA" w14:textId="77777777" w:rsidR="001221B2" w:rsidRPr="00E21CC1" w:rsidRDefault="001221B2" w:rsidP="001221B2">
      <w:pPr>
        <w:spacing w:after="0" w:line="240" w:lineRule="auto"/>
        <w:ind w:left="180" w:hanging="180"/>
        <w:rPr>
          <w:rFonts w:eastAsia="Times New Roman" w:cstheme="minorHAnsi"/>
          <w:i/>
          <w:iCs/>
          <w:color w:val="222222"/>
          <w:sz w:val="24"/>
          <w:szCs w:val="24"/>
        </w:rPr>
      </w:pPr>
    </w:p>
    <w:p w14:paraId="7C358E92"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OLMs are not:</w:t>
      </w:r>
    </w:p>
    <w:p w14:paraId="2DAB7080"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"Open Market Items."</w:t>
      </w:r>
    </w:p>
    <w:p w14:paraId="2507A2E9"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 xml:space="preserve">Items awarded under ancillary supplies/services or other direct cost (ODC) SINs (these items are defined, priced, and awarded at the FSS contract level)  </w:t>
      </w:r>
      <w:r w:rsidRPr="00E21CC1">
        <w:rPr>
          <w:rFonts w:eastAsia="Times New Roman" w:cstheme="minorHAnsi"/>
          <w:i/>
          <w:iCs/>
          <w:color w:val="222222"/>
          <w:sz w:val="24"/>
          <w:szCs w:val="24"/>
        </w:rPr>
        <w:br/>
      </w:r>
    </w:p>
    <w:p w14:paraId="31019844"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OLM Pricing:</w:t>
      </w:r>
    </w:p>
    <w:p w14:paraId="253B3774"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 xml:space="preserve">Prices for items provided under the Order-Level Materials SIN must be inclusive of the Industrial Funding Fee (IFF). </w:t>
      </w:r>
    </w:p>
    <w:p w14:paraId="6BCB334E" w14:textId="77777777" w:rsidR="001221B2" w:rsidRPr="00E21CC1" w:rsidRDefault="001221B2" w:rsidP="001221B2">
      <w:pPr>
        <w:spacing w:after="0" w:line="240" w:lineRule="auto"/>
        <w:ind w:left="180"/>
        <w:rPr>
          <w:rFonts w:eastAsia="Times New Roman" w:cstheme="minorHAnsi"/>
          <w:i/>
          <w:iCs/>
          <w:color w:val="222222"/>
          <w:sz w:val="24"/>
          <w:szCs w:val="24"/>
        </w:rPr>
      </w:pPr>
      <w:r w:rsidRPr="00E21CC1">
        <w:rPr>
          <w:rFonts w:eastAsia="Times New Roman" w:cstheme="minorHAnsi"/>
          <w:i/>
          <w:iCs/>
          <w:color w:val="222222"/>
          <w:sz w:val="24"/>
          <w:szCs w:val="24"/>
        </w:rPr>
        <w:t>The value of OLMs in a task or delivery order, or the cumulative value of OLMs in orders against an FSS BPA awarded under an FSS contract, cannot exceed 33.33%.</w:t>
      </w:r>
    </w:p>
    <w:p w14:paraId="6D7C3331" w14:textId="77777777" w:rsidR="001221B2" w:rsidRPr="00E21CC1" w:rsidRDefault="001221B2" w:rsidP="001221B2">
      <w:pPr>
        <w:spacing w:after="0" w:line="240" w:lineRule="auto"/>
        <w:ind w:left="180"/>
        <w:rPr>
          <w:rFonts w:eastAsia="Times New Roman" w:cstheme="minorHAnsi"/>
          <w:i/>
          <w:iCs/>
          <w:color w:val="222222"/>
          <w:sz w:val="24"/>
          <w:szCs w:val="24"/>
        </w:rPr>
      </w:pPr>
    </w:p>
    <w:p w14:paraId="50C4C261" w14:textId="77777777" w:rsidR="001221B2" w:rsidRPr="00E21CC1" w:rsidRDefault="001221B2" w:rsidP="001221B2">
      <w:pPr>
        <w:spacing w:after="0" w:line="240" w:lineRule="auto"/>
        <w:rPr>
          <w:sz w:val="24"/>
          <w:szCs w:val="24"/>
        </w:rPr>
      </w:pPr>
      <w:r w:rsidRPr="00E21CC1">
        <w:rPr>
          <w:sz w:val="24"/>
          <w:szCs w:val="24"/>
        </w:rPr>
        <w:t xml:space="preserve">Special note on Travel when using OLM procedures - Travel may be considered an OLM, however be aware that travel costs are governed by </w:t>
      </w:r>
      <w:hyperlink r:id="rId12" w:anchor="FAR_31_205_46" w:tooltip="FAR 31.205-46" w:history="1">
        <w:r w:rsidRPr="00E21CC1">
          <w:rPr>
            <w:rStyle w:val="Hyperlink"/>
            <w:sz w:val="24"/>
            <w:szCs w:val="24"/>
          </w:rPr>
          <w:t>FAR 31.205-46</w:t>
        </w:r>
      </w:hyperlink>
      <w:r w:rsidRPr="00E21CC1">
        <w:rPr>
          <w:sz w:val="24"/>
          <w:szCs w:val="24"/>
        </w:rPr>
        <w:t xml:space="preserve"> and:</w:t>
      </w:r>
    </w:p>
    <w:p w14:paraId="2761EC84" w14:textId="77777777" w:rsidR="001221B2" w:rsidRPr="00E21CC1" w:rsidRDefault="001221B2" w:rsidP="001221B2">
      <w:pPr>
        <w:pStyle w:val="ListParagraph"/>
        <w:numPr>
          <w:ilvl w:val="0"/>
          <w:numId w:val="10"/>
        </w:numPr>
        <w:rPr>
          <w:sz w:val="24"/>
          <w:szCs w:val="24"/>
        </w:rPr>
      </w:pPr>
      <w:r w:rsidRPr="00E21CC1">
        <w:rPr>
          <w:sz w:val="24"/>
          <w:szCs w:val="24"/>
        </w:rPr>
        <w:t>Do not count towards the 33.33% cost limitation</w:t>
      </w:r>
    </w:p>
    <w:p w14:paraId="72BB3F4B" w14:textId="77777777" w:rsidR="001221B2" w:rsidRPr="00E21CC1" w:rsidRDefault="001221B2" w:rsidP="001221B2">
      <w:pPr>
        <w:pStyle w:val="ListParagraph"/>
        <w:numPr>
          <w:ilvl w:val="0"/>
          <w:numId w:val="10"/>
        </w:numPr>
        <w:rPr>
          <w:sz w:val="24"/>
          <w:szCs w:val="24"/>
        </w:rPr>
      </w:pPr>
      <w:r w:rsidRPr="00E21CC1">
        <w:rPr>
          <w:sz w:val="24"/>
          <w:szCs w:val="24"/>
        </w:rPr>
        <w:t>May be a direct-reimbursable line item or may be priced on a firm fixed-price basis</w:t>
      </w:r>
    </w:p>
    <w:p w14:paraId="14781B0E" w14:textId="77777777" w:rsidR="001221B2" w:rsidRPr="00E21CC1" w:rsidRDefault="001221B2" w:rsidP="001221B2">
      <w:pPr>
        <w:pStyle w:val="ListParagraph"/>
        <w:numPr>
          <w:ilvl w:val="0"/>
          <w:numId w:val="10"/>
        </w:numPr>
        <w:rPr>
          <w:sz w:val="24"/>
          <w:szCs w:val="24"/>
        </w:rPr>
      </w:pPr>
      <w:r w:rsidRPr="00E21CC1">
        <w:rPr>
          <w:sz w:val="24"/>
          <w:szCs w:val="24"/>
        </w:rPr>
        <w:t>Are not subject to the IFF</w:t>
      </w:r>
    </w:p>
    <w:p w14:paraId="5EB2B6D6" w14:textId="77777777" w:rsidR="001221B2" w:rsidRPr="00E21CC1" w:rsidRDefault="001221B2" w:rsidP="001221B2">
      <w:pPr>
        <w:pStyle w:val="ListParagraph"/>
        <w:rPr>
          <w:sz w:val="24"/>
          <w:szCs w:val="24"/>
        </w:rPr>
      </w:pPr>
    </w:p>
    <w:p w14:paraId="091D05EA" w14:textId="77777777" w:rsidR="001221B2" w:rsidRPr="00E21CC1" w:rsidRDefault="001221B2" w:rsidP="001221B2">
      <w:pPr>
        <w:spacing w:after="0" w:line="240" w:lineRule="auto"/>
        <w:rPr>
          <w:rStyle w:val="Strong"/>
          <w:sz w:val="24"/>
          <w:szCs w:val="24"/>
        </w:rPr>
      </w:pPr>
      <w:r w:rsidRPr="00E21CC1">
        <w:rPr>
          <w:sz w:val="24"/>
          <w:szCs w:val="24"/>
        </w:rPr>
        <w:t xml:space="preserve">Below is a table with some of the key items concerning OLMs and open market items. </w:t>
      </w:r>
      <w:r w:rsidRPr="00E21CC1">
        <w:rPr>
          <w:rFonts w:eastAsia="Times New Roman" w:cstheme="minorHAnsi"/>
          <w:i/>
          <w:iCs/>
          <w:color w:val="222222"/>
          <w:sz w:val="24"/>
          <w:szCs w:val="24"/>
        </w:rPr>
        <w:br/>
      </w:r>
    </w:p>
    <w:p w14:paraId="39789123" w14:textId="77777777" w:rsidR="001221B2" w:rsidRPr="00E21CC1" w:rsidRDefault="001221B2" w:rsidP="001221B2">
      <w:pPr>
        <w:spacing w:after="0" w:line="240" w:lineRule="auto"/>
        <w:jc w:val="center"/>
        <w:rPr>
          <w:rStyle w:val="Strong"/>
          <w:sz w:val="24"/>
          <w:szCs w:val="24"/>
        </w:rPr>
      </w:pPr>
      <w:r w:rsidRPr="00E21CC1">
        <w:rPr>
          <w:rStyle w:val="Strong"/>
          <w:sz w:val="24"/>
          <w:szCs w:val="24"/>
        </w:rPr>
        <w:t>Other Direct Costs (ODCs) in Support of Schedule Orders</w:t>
      </w:r>
    </w:p>
    <w:tbl>
      <w:tblPr>
        <w:tblStyle w:val="TableGrid"/>
        <w:tblW w:w="0" w:type="auto"/>
        <w:tblLook w:val="04A0" w:firstRow="1" w:lastRow="0" w:firstColumn="1" w:lastColumn="0" w:noHBand="0" w:noVBand="1"/>
      </w:tblPr>
      <w:tblGrid>
        <w:gridCol w:w="1165"/>
        <w:gridCol w:w="1350"/>
        <w:gridCol w:w="1117"/>
        <w:gridCol w:w="2198"/>
        <w:gridCol w:w="1337"/>
        <w:gridCol w:w="954"/>
        <w:gridCol w:w="1378"/>
      </w:tblGrid>
      <w:tr w:rsidR="001221B2" w:rsidRPr="00E21CC1" w14:paraId="278AE78F" w14:textId="77777777" w:rsidTr="004C4EDB">
        <w:tc>
          <w:tcPr>
            <w:tcW w:w="1165" w:type="dxa"/>
          </w:tcPr>
          <w:p w14:paraId="6164CF38" w14:textId="77777777" w:rsidR="001221B2" w:rsidRPr="00E21CC1" w:rsidRDefault="001221B2" w:rsidP="004C4EDB">
            <w:pPr>
              <w:jc w:val="center"/>
              <w:rPr>
                <w:b/>
                <w:bCs/>
                <w:sz w:val="24"/>
                <w:szCs w:val="24"/>
              </w:rPr>
            </w:pPr>
          </w:p>
          <w:p w14:paraId="736E7992" w14:textId="77777777" w:rsidR="001221B2" w:rsidRPr="00E21CC1" w:rsidRDefault="001221B2" w:rsidP="004C4EDB">
            <w:pPr>
              <w:jc w:val="center"/>
              <w:rPr>
                <w:b/>
                <w:bCs/>
                <w:sz w:val="24"/>
                <w:szCs w:val="24"/>
              </w:rPr>
            </w:pPr>
            <w:r w:rsidRPr="00E21CC1">
              <w:rPr>
                <w:b/>
                <w:bCs/>
                <w:sz w:val="24"/>
                <w:szCs w:val="24"/>
              </w:rPr>
              <w:t>Type</w:t>
            </w:r>
          </w:p>
        </w:tc>
        <w:tc>
          <w:tcPr>
            <w:tcW w:w="1350" w:type="dxa"/>
          </w:tcPr>
          <w:p w14:paraId="703ADB42" w14:textId="77777777" w:rsidR="001221B2" w:rsidRPr="00E21CC1" w:rsidRDefault="001221B2" w:rsidP="004C4EDB">
            <w:pPr>
              <w:jc w:val="center"/>
              <w:rPr>
                <w:b/>
                <w:bCs/>
                <w:sz w:val="24"/>
                <w:szCs w:val="24"/>
              </w:rPr>
            </w:pPr>
          </w:p>
          <w:p w14:paraId="1CFA71AF" w14:textId="77777777" w:rsidR="001221B2" w:rsidRPr="00E21CC1" w:rsidRDefault="001221B2" w:rsidP="004C4EDB">
            <w:pPr>
              <w:jc w:val="center"/>
              <w:rPr>
                <w:b/>
                <w:bCs/>
                <w:sz w:val="24"/>
                <w:szCs w:val="24"/>
              </w:rPr>
            </w:pPr>
            <w:r w:rsidRPr="00E21CC1">
              <w:rPr>
                <w:b/>
                <w:bCs/>
                <w:sz w:val="24"/>
                <w:szCs w:val="24"/>
              </w:rPr>
              <w:t>Reference</w:t>
            </w:r>
          </w:p>
        </w:tc>
        <w:tc>
          <w:tcPr>
            <w:tcW w:w="1080" w:type="dxa"/>
          </w:tcPr>
          <w:p w14:paraId="4EE8000B" w14:textId="77777777" w:rsidR="001221B2" w:rsidRPr="00E21CC1" w:rsidRDefault="001221B2" w:rsidP="004C4EDB">
            <w:pPr>
              <w:jc w:val="center"/>
              <w:rPr>
                <w:b/>
                <w:bCs/>
                <w:sz w:val="24"/>
                <w:szCs w:val="24"/>
              </w:rPr>
            </w:pPr>
            <w:r w:rsidRPr="00E21CC1">
              <w:rPr>
                <w:b/>
                <w:bCs/>
                <w:sz w:val="24"/>
                <w:szCs w:val="24"/>
              </w:rPr>
              <w:t>Schedule Item</w:t>
            </w:r>
          </w:p>
        </w:tc>
        <w:tc>
          <w:tcPr>
            <w:tcW w:w="2198" w:type="dxa"/>
          </w:tcPr>
          <w:p w14:paraId="35568C0D" w14:textId="77777777" w:rsidR="001221B2" w:rsidRPr="00E21CC1" w:rsidRDefault="001221B2" w:rsidP="004C4EDB">
            <w:pPr>
              <w:jc w:val="center"/>
              <w:rPr>
                <w:b/>
                <w:bCs/>
                <w:sz w:val="24"/>
                <w:szCs w:val="24"/>
              </w:rPr>
            </w:pPr>
            <w:r w:rsidRPr="00E21CC1">
              <w:rPr>
                <w:b/>
                <w:bCs/>
                <w:sz w:val="24"/>
                <w:szCs w:val="24"/>
              </w:rPr>
              <w:t>Price Reasonableness Determination</w:t>
            </w:r>
          </w:p>
        </w:tc>
        <w:tc>
          <w:tcPr>
            <w:tcW w:w="1244" w:type="dxa"/>
          </w:tcPr>
          <w:p w14:paraId="54479155" w14:textId="77777777" w:rsidR="001221B2" w:rsidRPr="00E21CC1" w:rsidRDefault="001221B2" w:rsidP="004C4EDB">
            <w:pPr>
              <w:jc w:val="center"/>
              <w:rPr>
                <w:b/>
                <w:bCs/>
                <w:sz w:val="24"/>
                <w:szCs w:val="24"/>
              </w:rPr>
            </w:pPr>
            <w:r w:rsidRPr="00E21CC1">
              <w:rPr>
                <w:b/>
                <w:bCs/>
                <w:sz w:val="24"/>
                <w:szCs w:val="24"/>
              </w:rPr>
              <w:t>Designated SIN</w:t>
            </w:r>
          </w:p>
        </w:tc>
        <w:tc>
          <w:tcPr>
            <w:tcW w:w="935" w:type="dxa"/>
          </w:tcPr>
          <w:p w14:paraId="589F5613" w14:textId="77777777" w:rsidR="001221B2" w:rsidRPr="00E21CC1" w:rsidRDefault="001221B2" w:rsidP="004C4EDB">
            <w:pPr>
              <w:jc w:val="center"/>
              <w:rPr>
                <w:b/>
                <w:bCs/>
                <w:sz w:val="24"/>
                <w:szCs w:val="24"/>
              </w:rPr>
            </w:pPr>
            <w:r w:rsidRPr="00E21CC1">
              <w:rPr>
                <w:b/>
                <w:bCs/>
                <w:sz w:val="24"/>
                <w:szCs w:val="24"/>
              </w:rPr>
              <w:t>IFF Applies</w:t>
            </w:r>
          </w:p>
        </w:tc>
        <w:tc>
          <w:tcPr>
            <w:tcW w:w="1378" w:type="dxa"/>
          </w:tcPr>
          <w:p w14:paraId="73B5FBD4" w14:textId="77777777" w:rsidR="001221B2" w:rsidRPr="00E21CC1" w:rsidRDefault="001221B2" w:rsidP="004C4EDB">
            <w:pPr>
              <w:jc w:val="center"/>
              <w:rPr>
                <w:b/>
                <w:bCs/>
                <w:sz w:val="24"/>
                <w:szCs w:val="24"/>
              </w:rPr>
            </w:pPr>
            <w:r w:rsidRPr="00E21CC1">
              <w:rPr>
                <w:b/>
                <w:bCs/>
                <w:sz w:val="24"/>
                <w:szCs w:val="24"/>
              </w:rPr>
              <w:t>CLIN Types Allowed</w:t>
            </w:r>
          </w:p>
        </w:tc>
      </w:tr>
      <w:tr w:rsidR="001221B2" w:rsidRPr="00E21CC1" w14:paraId="4164F8E5" w14:textId="77777777" w:rsidTr="004C4EDB">
        <w:tc>
          <w:tcPr>
            <w:tcW w:w="1165" w:type="dxa"/>
          </w:tcPr>
          <w:p w14:paraId="16E21006" w14:textId="77777777" w:rsidR="001221B2" w:rsidRPr="00E21CC1" w:rsidRDefault="001221B2" w:rsidP="004C4EDB">
            <w:pPr>
              <w:rPr>
                <w:sz w:val="24"/>
                <w:szCs w:val="24"/>
              </w:rPr>
            </w:pPr>
            <w:r w:rsidRPr="00E21CC1">
              <w:rPr>
                <w:sz w:val="24"/>
                <w:szCs w:val="24"/>
              </w:rPr>
              <w:t>OLM</w:t>
            </w:r>
          </w:p>
        </w:tc>
        <w:tc>
          <w:tcPr>
            <w:tcW w:w="1350" w:type="dxa"/>
          </w:tcPr>
          <w:p w14:paraId="1C78511B" w14:textId="77777777" w:rsidR="00121D37" w:rsidRDefault="001221B2" w:rsidP="004C4EDB">
            <w:pPr>
              <w:rPr>
                <w:sz w:val="24"/>
                <w:szCs w:val="24"/>
              </w:rPr>
            </w:pPr>
            <w:r w:rsidRPr="00E21CC1">
              <w:rPr>
                <w:sz w:val="24"/>
                <w:szCs w:val="24"/>
              </w:rPr>
              <w:t>GSA</w:t>
            </w:r>
            <w:r w:rsidR="00121D37">
              <w:rPr>
                <w:sz w:val="24"/>
                <w:szCs w:val="24"/>
              </w:rPr>
              <w:t>R</w:t>
            </w:r>
          </w:p>
          <w:p w14:paraId="798D7D0F" w14:textId="3E19098A" w:rsidR="001221B2" w:rsidRPr="00E21CC1" w:rsidRDefault="001221B2" w:rsidP="004C4EDB">
            <w:pPr>
              <w:rPr>
                <w:sz w:val="24"/>
                <w:szCs w:val="24"/>
              </w:rPr>
            </w:pPr>
            <w:r w:rsidRPr="00E21CC1">
              <w:rPr>
                <w:sz w:val="24"/>
                <w:szCs w:val="24"/>
              </w:rPr>
              <w:t>538</w:t>
            </w:r>
            <w:r w:rsidR="00121D37">
              <w:rPr>
                <w:sz w:val="24"/>
                <w:szCs w:val="24"/>
              </w:rPr>
              <w:t>.7</w:t>
            </w:r>
            <w:r w:rsidRPr="00E21CC1">
              <w:rPr>
                <w:sz w:val="24"/>
                <w:szCs w:val="24"/>
              </w:rPr>
              <w:t>2</w:t>
            </w:r>
          </w:p>
        </w:tc>
        <w:tc>
          <w:tcPr>
            <w:tcW w:w="1080" w:type="dxa"/>
          </w:tcPr>
          <w:p w14:paraId="4403A235" w14:textId="77777777" w:rsidR="001221B2" w:rsidRPr="00E21CC1" w:rsidRDefault="001221B2" w:rsidP="004C4EDB">
            <w:pPr>
              <w:jc w:val="center"/>
              <w:rPr>
                <w:sz w:val="24"/>
                <w:szCs w:val="24"/>
              </w:rPr>
            </w:pPr>
            <w:r w:rsidRPr="00E21CC1">
              <w:rPr>
                <w:sz w:val="24"/>
                <w:szCs w:val="24"/>
              </w:rPr>
              <w:t>Yes</w:t>
            </w:r>
          </w:p>
        </w:tc>
        <w:tc>
          <w:tcPr>
            <w:tcW w:w="2198" w:type="dxa"/>
          </w:tcPr>
          <w:p w14:paraId="5A72AB89" w14:textId="77777777" w:rsidR="001221B2" w:rsidRPr="00E21CC1" w:rsidRDefault="001221B2" w:rsidP="004C4EDB">
            <w:pPr>
              <w:rPr>
                <w:sz w:val="24"/>
                <w:szCs w:val="24"/>
              </w:rPr>
            </w:pPr>
            <w:r w:rsidRPr="00E21CC1">
              <w:rPr>
                <w:sz w:val="24"/>
                <w:szCs w:val="24"/>
              </w:rPr>
              <w:t>Ordering Activity CO</w:t>
            </w:r>
          </w:p>
        </w:tc>
        <w:tc>
          <w:tcPr>
            <w:tcW w:w="1244" w:type="dxa"/>
          </w:tcPr>
          <w:p w14:paraId="7C2B9044" w14:textId="77777777" w:rsidR="001221B2" w:rsidRPr="00E21CC1" w:rsidRDefault="001221B2" w:rsidP="004C4EDB">
            <w:pPr>
              <w:jc w:val="center"/>
              <w:rPr>
                <w:sz w:val="24"/>
                <w:szCs w:val="24"/>
              </w:rPr>
            </w:pPr>
            <w:r w:rsidRPr="00E21CC1">
              <w:rPr>
                <w:sz w:val="24"/>
                <w:szCs w:val="24"/>
              </w:rPr>
              <w:t>Yes</w:t>
            </w:r>
          </w:p>
        </w:tc>
        <w:tc>
          <w:tcPr>
            <w:tcW w:w="935" w:type="dxa"/>
          </w:tcPr>
          <w:p w14:paraId="2E4A7751" w14:textId="77777777" w:rsidR="001221B2" w:rsidRPr="00E21CC1" w:rsidRDefault="001221B2" w:rsidP="004C4EDB">
            <w:pPr>
              <w:jc w:val="center"/>
              <w:rPr>
                <w:sz w:val="24"/>
                <w:szCs w:val="24"/>
              </w:rPr>
            </w:pPr>
            <w:r w:rsidRPr="00E21CC1">
              <w:rPr>
                <w:sz w:val="24"/>
                <w:szCs w:val="24"/>
              </w:rPr>
              <w:t>Yes</w:t>
            </w:r>
          </w:p>
        </w:tc>
        <w:tc>
          <w:tcPr>
            <w:tcW w:w="1378" w:type="dxa"/>
          </w:tcPr>
          <w:p w14:paraId="79D02694" w14:textId="77777777" w:rsidR="001221B2" w:rsidRPr="00E21CC1" w:rsidRDefault="001221B2" w:rsidP="004C4EDB">
            <w:pPr>
              <w:rPr>
                <w:sz w:val="24"/>
                <w:szCs w:val="24"/>
              </w:rPr>
            </w:pPr>
            <w:r w:rsidRPr="00E21CC1">
              <w:rPr>
                <w:sz w:val="24"/>
                <w:szCs w:val="24"/>
              </w:rPr>
              <w:t>T&amp;M/LH</w:t>
            </w:r>
          </w:p>
        </w:tc>
      </w:tr>
      <w:tr w:rsidR="001221B2" w:rsidRPr="00E21CC1" w14:paraId="139D079B" w14:textId="77777777" w:rsidTr="004C4EDB">
        <w:tc>
          <w:tcPr>
            <w:tcW w:w="1165" w:type="dxa"/>
          </w:tcPr>
          <w:p w14:paraId="59AD5037" w14:textId="77777777" w:rsidR="001221B2" w:rsidRPr="00E21CC1" w:rsidRDefault="001221B2" w:rsidP="004C4EDB">
            <w:pPr>
              <w:rPr>
                <w:sz w:val="24"/>
                <w:szCs w:val="24"/>
              </w:rPr>
            </w:pPr>
            <w:r w:rsidRPr="00E21CC1">
              <w:rPr>
                <w:sz w:val="24"/>
                <w:szCs w:val="24"/>
              </w:rPr>
              <w:t>Open Market</w:t>
            </w:r>
          </w:p>
        </w:tc>
        <w:tc>
          <w:tcPr>
            <w:tcW w:w="1350" w:type="dxa"/>
          </w:tcPr>
          <w:p w14:paraId="68EB44D1" w14:textId="77777777" w:rsidR="001221B2" w:rsidRPr="00E21CC1" w:rsidRDefault="001221B2" w:rsidP="004C4EDB">
            <w:pPr>
              <w:rPr>
                <w:sz w:val="24"/>
                <w:szCs w:val="24"/>
              </w:rPr>
            </w:pPr>
            <w:r w:rsidRPr="00E21CC1">
              <w:rPr>
                <w:sz w:val="24"/>
                <w:szCs w:val="24"/>
              </w:rPr>
              <w:t>FAR 8.402(f)</w:t>
            </w:r>
          </w:p>
        </w:tc>
        <w:tc>
          <w:tcPr>
            <w:tcW w:w="1080" w:type="dxa"/>
          </w:tcPr>
          <w:p w14:paraId="24BBE2EA" w14:textId="77777777" w:rsidR="001221B2" w:rsidRPr="00E21CC1" w:rsidRDefault="001221B2" w:rsidP="004C4EDB">
            <w:pPr>
              <w:jc w:val="center"/>
              <w:rPr>
                <w:sz w:val="24"/>
                <w:szCs w:val="24"/>
              </w:rPr>
            </w:pPr>
            <w:r w:rsidRPr="00E21CC1">
              <w:rPr>
                <w:sz w:val="24"/>
                <w:szCs w:val="24"/>
              </w:rPr>
              <w:t>No</w:t>
            </w:r>
          </w:p>
        </w:tc>
        <w:tc>
          <w:tcPr>
            <w:tcW w:w="2198" w:type="dxa"/>
          </w:tcPr>
          <w:p w14:paraId="56FCEE71" w14:textId="77777777" w:rsidR="001221B2" w:rsidRPr="00E21CC1" w:rsidRDefault="001221B2" w:rsidP="004C4EDB">
            <w:pPr>
              <w:rPr>
                <w:sz w:val="24"/>
                <w:szCs w:val="24"/>
              </w:rPr>
            </w:pPr>
            <w:r w:rsidRPr="00E21CC1">
              <w:rPr>
                <w:sz w:val="24"/>
                <w:szCs w:val="24"/>
              </w:rPr>
              <w:t>Ordering Activity CO</w:t>
            </w:r>
          </w:p>
        </w:tc>
        <w:tc>
          <w:tcPr>
            <w:tcW w:w="1244" w:type="dxa"/>
          </w:tcPr>
          <w:p w14:paraId="4054512C" w14:textId="77777777" w:rsidR="001221B2" w:rsidRPr="00E21CC1" w:rsidRDefault="001221B2" w:rsidP="004C4EDB">
            <w:pPr>
              <w:jc w:val="center"/>
              <w:rPr>
                <w:sz w:val="24"/>
                <w:szCs w:val="24"/>
              </w:rPr>
            </w:pPr>
            <w:r w:rsidRPr="00E21CC1">
              <w:rPr>
                <w:sz w:val="24"/>
                <w:szCs w:val="24"/>
              </w:rPr>
              <w:t>No</w:t>
            </w:r>
          </w:p>
        </w:tc>
        <w:tc>
          <w:tcPr>
            <w:tcW w:w="935" w:type="dxa"/>
          </w:tcPr>
          <w:p w14:paraId="7DBAE2F1" w14:textId="77777777" w:rsidR="001221B2" w:rsidRPr="00E21CC1" w:rsidRDefault="001221B2" w:rsidP="004C4EDB">
            <w:pPr>
              <w:jc w:val="center"/>
              <w:rPr>
                <w:sz w:val="24"/>
                <w:szCs w:val="24"/>
              </w:rPr>
            </w:pPr>
            <w:r w:rsidRPr="00E21CC1">
              <w:rPr>
                <w:sz w:val="24"/>
                <w:szCs w:val="24"/>
              </w:rPr>
              <w:t>No</w:t>
            </w:r>
          </w:p>
        </w:tc>
        <w:tc>
          <w:tcPr>
            <w:tcW w:w="1378" w:type="dxa"/>
          </w:tcPr>
          <w:p w14:paraId="05A12F37" w14:textId="77777777" w:rsidR="001221B2" w:rsidRPr="00E21CC1" w:rsidRDefault="001221B2" w:rsidP="004C4EDB">
            <w:pPr>
              <w:rPr>
                <w:sz w:val="24"/>
                <w:szCs w:val="24"/>
              </w:rPr>
            </w:pPr>
            <w:r w:rsidRPr="00E21CC1">
              <w:rPr>
                <w:sz w:val="24"/>
                <w:szCs w:val="24"/>
              </w:rPr>
              <w:t>All</w:t>
            </w:r>
          </w:p>
        </w:tc>
      </w:tr>
    </w:tbl>
    <w:p w14:paraId="0A3988BF" w14:textId="5B447E31" w:rsidR="001221B2" w:rsidRDefault="001221B2" w:rsidP="001221B2">
      <w:pPr>
        <w:spacing w:after="0" w:line="240" w:lineRule="auto"/>
        <w:rPr>
          <w:sz w:val="24"/>
          <w:szCs w:val="24"/>
        </w:rPr>
      </w:pPr>
    </w:p>
    <w:p w14:paraId="6DAA12E9" w14:textId="10F39259" w:rsidR="00AA08EE" w:rsidRPr="00AA08EE" w:rsidRDefault="00982B80" w:rsidP="001221B2">
      <w:pPr>
        <w:spacing w:after="0" w:line="240" w:lineRule="auto"/>
        <w:rPr>
          <w:b/>
          <w:bCs/>
          <w:sz w:val="24"/>
          <w:szCs w:val="24"/>
        </w:rPr>
      </w:pPr>
      <w:r>
        <w:rPr>
          <w:b/>
          <w:bCs/>
          <w:sz w:val="24"/>
          <w:szCs w:val="24"/>
        </w:rPr>
        <w:t xml:space="preserve">Upcoming </w:t>
      </w:r>
      <w:r w:rsidR="00AA08EE" w:rsidRPr="00AA08EE">
        <w:rPr>
          <w:b/>
          <w:bCs/>
          <w:sz w:val="24"/>
          <w:szCs w:val="24"/>
        </w:rPr>
        <w:t>Training</w:t>
      </w:r>
    </w:p>
    <w:p w14:paraId="7E0706D9" w14:textId="618FD2F7" w:rsidR="00AA08EE" w:rsidRPr="00126E62" w:rsidRDefault="00AA08EE" w:rsidP="00AA08EE">
      <w:pPr>
        <w:pStyle w:val="NormalWeb"/>
        <w:rPr>
          <w:rFonts w:asciiTheme="minorHAnsi" w:hAnsiTheme="minorHAnsi" w:cstheme="minorHAnsi"/>
          <w:sz w:val="24"/>
          <w:szCs w:val="24"/>
        </w:rPr>
      </w:pPr>
      <w:r w:rsidRPr="00126E62">
        <w:rPr>
          <w:rFonts w:asciiTheme="minorHAnsi" w:hAnsiTheme="minorHAnsi" w:cstheme="minorHAnsi"/>
          <w:b/>
          <w:bCs/>
          <w:color w:val="000000"/>
          <w:sz w:val="24"/>
          <w:szCs w:val="24"/>
        </w:rPr>
        <w:t>FCL-GSA-0105 GSA Order Level Materials (OLM) | Dec. 2, 2020, 1 p.m. - 3 p.m. ET</w:t>
      </w:r>
    </w:p>
    <w:p w14:paraId="07C9DD02" w14:textId="6AAC7636" w:rsidR="00AA08EE" w:rsidRPr="00126E62" w:rsidRDefault="00AA08EE" w:rsidP="00AA08EE">
      <w:pPr>
        <w:pStyle w:val="NormalWeb"/>
        <w:rPr>
          <w:rFonts w:asciiTheme="minorHAnsi" w:hAnsiTheme="minorHAnsi" w:cstheme="minorHAnsi"/>
          <w:color w:val="000000"/>
          <w:sz w:val="24"/>
          <w:szCs w:val="24"/>
        </w:rPr>
      </w:pPr>
      <w:r w:rsidRPr="00126E62">
        <w:rPr>
          <w:rFonts w:asciiTheme="minorHAnsi" w:hAnsiTheme="minorHAnsi" w:cstheme="minorHAnsi"/>
          <w:color w:val="000000"/>
          <w:sz w:val="24"/>
          <w:szCs w:val="24"/>
        </w:rPr>
        <w:t>This course will provide an overview of the authority to acquire Order-Level Materials (OLMs) under certain Federal Supply Schedule, to include implementation at the FSS solicitation, contract, and order levels. Learn how OLMs increase the flexibility of GSA Schedule to provide a total solution and reduce contract duplication-- eliminating the need to set up new commercial IDIQs or conduct open market procurements to obtain order-level Other Direct Costs. This is a two (2) CLP credit course</w:t>
      </w:r>
    </w:p>
    <w:p w14:paraId="753FE628" w14:textId="17BA25B0" w:rsidR="00AA08EE" w:rsidRPr="00126E62" w:rsidRDefault="00AA08EE" w:rsidP="00AA08EE">
      <w:pPr>
        <w:pStyle w:val="NormalWeb"/>
        <w:rPr>
          <w:rFonts w:asciiTheme="minorHAnsi" w:hAnsiTheme="minorHAnsi" w:cstheme="minorHAnsi"/>
          <w:sz w:val="24"/>
          <w:szCs w:val="24"/>
        </w:rPr>
      </w:pPr>
      <w:r w:rsidRPr="00126E62">
        <w:rPr>
          <w:rFonts w:asciiTheme="minorHAnsi" w:hAnsiTheme="minorHAnsi" w:cstheme="minorHAnsi"/>
          <w:color w:val="000000"/>
          <w:sz w:val="24"/>
          <w:szCs w:val="24"/>
        </w:rPr>
        <w:t xml:space="preserve">View the training schedule and register here: </w:t>
      </w:r>
      <w:hyperlink r:id="rId13" w:history="1">
        <w:r w:rsidRPr="00126E62">
          <w:rPr>
            <w:rStyle w:val="Hyperlink"/>
            <w:rFonts w:asciiTheme="minorHAnsi" w:hAnsiTheme="minorHAnsi" w:cstheme="minorHAnsi"/>
            <w:color w:val="1155CC"/>
            <w:sz w:val="24"/>
            <w:szCs w:val="24"/>
          </w:rPr>
          <w:t>http://go.usa.gov/xEGWs</w:t>
        </w:r>
      </w:hyperlink>
      <w:r w:rsidRPr="00126E62">
        <w:rPr>
          <w:rFonts w:asciiTheme="minorHAnsi" w:hAnsiTheme="minorHAnsi" w:cstheme="minorHAnsi"/>
          <w:color w:val="000000"/>
          <w:sz w:val="24"/>
          <w:szCs w:val="24"/>
        </w:rPr>
        <w:t>.</w:t>
      </w:r>
    </w:p>
    <w:p w14:paraId="16ADE268" w14:textId="77777777" w:rsidR="001221B2" w:rsidRPr="00BC317D" w:rsidRDefault="001221B2" w:rsidP="001221B2">
      <w:pPr>
        <w:rPr>
          <w:b/>
          <w:bCs/>
          <w:sz w:val="24"/>
          <w:szCs w:val="24"/>
        </w:rPr>
      </w:pPr>
      <w:r w:rsidRPr="00BC317D">
        <w:rPr>
          <w:b/>
          <w:bCs/>
          <w:sz w:val="24"/>
          <w:szCs w:val="24"/>
        </w:rPr>
        <w:t>Want to learn more? Check out these resources:</w:t>
      </w:r>
    </w:p>
    <w:p w14:paraId="27D35AB8" w14:textId="77777777" w:rsidR="001221B2" w:rsidRPr="00E21CC1" w:rsidRDefault="00166DB5" w:rsidP="001221B2">
      <w:pPr>
        <w:rPr>
          <w:sz w:val="24"/>
          <w:szCs w:val="24"/>
        </w:rPr>
      </w:pPr>
      <w:hyperlink r:id="rId14" w:tooltip="GSA Website for Order-Level Materials" w:history="1">
        <w:r w:rsidR="001221B2" w:rsidRPr="00E21CC1">
          <w:rPr>
            <w:rStyle w:val="Hyperlink"/>
            <w:sz w:val="24"/>
            <w:szCs w:val="24"/>
          </w:rPr>
          <w:t>GSA Website for Order-Level Materials</w:t>
        </w:r>
      </w:hyperlink>
    </w:p>
    <w:p w14:paraId="724BFB64" w14:textId="77777777" w:rsidR="001221B2" w:rsidRPr="00E21CC1" w:rsidRDefault="00166DB5" w:rsidP="001221B2">
      <w:pPr>
        <w:rPr>
          <w:sz w:val="24"/>
          <w:szCs w:val="24"/>
        </w:rPr>
      </w:pPr>
      <w:hyperlink r:id="rId15" w:tooltip="GSA Training: Understanding Order-Level Materials (OLMs)" w:history="1">
        <w:r w:rsidR="001221B2" w:rsidRPr="00E21CC1">
          <w:rPr>
            <w:rStyle w:val="Hyperlink"/>
            <w:sz w:val="24"/>
            <w:szCs w:val="24"/>
          </w:rPr>
          <w:t>GSA Training: Understanding Order-Level Materials (OLMs)</w:t>
        </w:r>
      </w:hyperlink>
    </w:p>
    <w:p w14:paraId="67F80E28" w14:textId="77777777" w:rsidR="001221B2" w:rsidRPr="00E21CC1" w:rsidRDefault="00166DB5" w:rsidP="001221B2">
      <w:pPr>
        <w:rPr>
          <w:sz w:val="24"/>
          <w:szCs w:val="24"/>
        </w:rPr>
      </w:pPr>
      <w:hyperlink r:id="rId16" w:tooltip="GSA Schedule Categories Authorized to Use Order Level Material (OLM) Procedures" w:history="1">
        <w:r w:rsidR="001221B2" w:rsidRPr="00E21CC1">
          <w:rPr>
            <w:rStyle w:val="Hyperlink"/>
            <w:sz w:val="24"/>
            <w:szCs w:val="24"/>
          </w:rPr>
          <w:t>GSA Schedule Categories Authorized to Use Order Level Material (OLM) Procedures</w:t>
        </w:r>
      </w:hyperlink>
    </w:p>
    <w:p w14:paraId="324404DA" w14:textId="77777777" w:rsidR="001221B2" w:rsidRPr="00E21CC1" w:rsidRDefault="00166DB5" w:rsidP="001221B2">
      <w:pPr>
        <w:rPr>
          <w:sz w:val="24"/>
          <w:szCs w:val="24"/>
        </w:rPr>
      </w:pPr>
      <w:hyperlink r:id="rId17" w:tooltip="GSA Order-Level Materials FAQs" w:history="1">
        <w:r w:rsidR="001221B2" w:rsidRPr="00E21CC1">
          <w:rPr>
            <w:rStyle w:val="Hyperlink"/>
            <w:sz w:val="24"/>
            <w:szCs w:val="24"/>
          </w:rPr>
          <w:t>GSA Order-Level Materials FAQs</w:t>
        </w:r>
      </w:hyperlink>
    </w:p>
    <w:p w14:paraId="767ADD62" w14:textId="77777777" w:rsidR="001221B2" w:rsidRPr="00E21CC1" w:rsidRDefault="00166DB5" w:rsidP="001221B2">
      <w:pPr>
        <w:rPr>
          <w:sz w:val="24"/>
          <w:szCs w:val="24"/>
        </w:rPr>
      </w:pPr>
      <w:hyperlink r:id="rId18" w:tooltip="Summary of Support Items Types for GSA Schedules Program Orders" w:history="1">
        <w:r w:rsidR="001221B2" w:rsidRPr="00E21CC1">
          <w:rPr>
            <w:rStyle w:val="Hyperlink"/>
            <w:sz w:val="24"/>
            <w:szCs w:val="24"/>
          </w:rPr>
          <w:t>Summary of Support Items Types for GSA Schedules Program Orders</w:t>
        </w:r>
      </w:hyperlink>
    </w:p>
    <w:p w14:paraId="628BEFA9" w14:textId="77777777" w:rsidR="001221B2" w:rsidRPr="00E21CC1" w:rsidRDefault="001221B2" w:rsidP="001221B2">
      <w:pPr>
        <w:rPr>
          <w:rStyle w:val="Strong"/>
          <w:sz w:val="24"/>
          <w:szCs w:val="24"/>
        </w:rPr>
      </w:pPr>
      <w:r w:rsidRPr="00E21CC1">
        <w:rPr>
          <w:rStyle w:val="Strong"/>
          <w:sz w:val="24"/>
          <w:szCs w:val="24"/>
        </w:rPr>
        <w:t>Regulatory References</w:t>
      </w:r>
    </w:p>
    <w:p w14:paraId="2D76185D" w14:textId="77777777" w:rsidR="001221B2" w:rsidRPr="00E21CC1" w:rsidRDefault="00166DB5" w:rsidP="001221B2">
      <w:pPr>
        <w:rPr>
          <w:sz w:val="24"/>
          <w:szCs w:val="24"/>
        </w:rPr>
      </w:pPr>
      <w:hyperlink r:id="rId19" w:tooltip="GSAR Case 2016-G506 Federal Supply Schedule, Order-Level Materials – Final Rule dated 1/24/2018" w:history="1">
        <w:r w:rsidR="001221B2" w:rsidRPr="00E21CC1">
          <w:rPr>
            <w:rStyle w:val="Hyperlink"/>
            <w:sz w:val="24"/>
            <w:szCs w:val="24"/>
          </w:rPr>
          <w:t>GSAR Case 2016-G506 Federal Supply Schedule, Order-Level Materials – Final Rule dated 1/24/2018</w:t>
        </w:r>
      </w:hyperlink>
    </w:p>
    <w:p w14:paraId="269165D4" w14:textId="77777777" w:rsidR="001221B2" w:rsidRPr="00E21CC1" w:rsidRDefault="00166DB5" w:rsidP="001221B2">
      <w:pPr>
        <w:rPr>
          <w:sz w:val="24"/>
          <w:szCs w:val="24"/>
        </w:rPr>
      </w:pPr>
      <w:hyperlink r:id="rId20" w:tooltip="Technical Amendment to Final Rule – August 16, 2018" w:history="1">
        <w:r w:rsidR="001221B2" w:rsidRPr="00E21CC1">
          <w:rPr>
            <w:rStyle w:val="Hyperlink"/>
            <w:sz w:val="24"/>
            <w:szCs w:val="24"/>
          </w:rPr>
          <w:t>Technical Amendment to Final Rule – August 16, 2018</w:t>
        </w:r>
      </w:hyperlink>
    </w:p>
    <w:p w14:paraId="112E646E" w14:textId="132DD6C6" w:rsidR="001221B2" w:rsidRPr="00E21CC1" w:rsidRDefault="00166DB5" w:rsidP="001221B2">
      <w:pPr>
        <w:rPr>
          <w:sz w:val="24"/>
          <w:szCs w:val="24"/>
        </w:rPr>
      </w:pPr>
      <w:hyperlink r:id="rId21" w:tooltip="GSAR Clause 552.238-115 Special Ordering Procedures for the Acquisition of Order-Level Materials" w:history="1">
        <w:r w:rsidR="001221B2" w:rsidRPr="00E21CC1">
          <w:rPr>
            <w:rStyle w:val="Hyperlink"/>
            <w:sz w:val="24"/>
            <w:szCs w:val="24"/>
          </w:rPr>
          <w:t>GSAR Clause 552.238-115 Special Ordering Procedures for the Acquisition of Order-Level Materials</w:t>
        </w:r>
      </w:hyperlink>
    </w:p>
    <w:p w14:paraId="44006731" w14:textId="03EB9005" w:rsidR="0053156E" w:rsidRDefault="0053156E" w:rsidP="00AD69EA">
      <w:pPr>
        <w:spacing w:line="240" w:lineRule="auto"/>
        <w:rPr>
          <w:sz w:val="24"/>
          <w:szCs w:val="24"/>
        </w:rPr>
      </w:pPr>
    </w:p>
    <w:p w14:paraId="7F00C157" w14:textId="77777777" w:rsidR="00CE4760" w:rsidRDefault="00CE4760" w:rsidP="00AD69EA">
      <w:pPr>
        <w:spacing w:line="240" w:lineRule="auto"/>
        <w:rPr>
          <w:sz w:val="24"/>
          <w:szCs w:val="24"/>
        </w:rPr>
      </w:pPr>
    </w:p>
    <w:p w14:paraId="73543B36" w14:textId="77777777" w:rsidR="00FD2307" w:rsidRDefault="00FD2307" w:rsidP="00FD2307">
      <w:pPr>
        <w:pStyle w:val="Heading1"/>
      </w:pPr>
      <w:r>
        <w:t>Inflation Adjustment of Acquisition-Related Thresholds</w:t>
      </w:r>
    </w:p>
    <w:p w14:paraId="6A38DD74" w14:textId="77777777" w:rsidR="00863E97" w:rsidRDefault="00863E97" w:rsidP="00863E97">
      <w:pPr>
        <w:jc w:val="both"/>
        <w:rPr>
          <w:sz w:val="24"/>
          <w:szCs w:val="24"/>
        </w:rPr>
      </w:pPr>
      <w:r w:rsidRPr="0053156E">
        <w:rPr>
          <w:sz w:val="24"/>
          <w:szCs w:val="24"/>
        </w:rPr>
        <w:t xml:space="preserve">Federal Acquisition Circular (FAC) </w:t>
      </w:r>
      <w:hyperlink r:id="rId22" w:history="1">
        <w:r>
          <w:rPr>
            <w:rStyle w:val="Hyperlink"/>
            <w:sz w:val="24"/>
            <w:szCs w:val="24"/>
          </w:rPr>
          <w:t>2021-01</w:t>
        </w:r>
      </w:hyperlink>
      <w:r w:rsidRPr="0053156E">
        <w:rPr>
          <w:sz w:val="24"/>
          <w:szCs w:val="24"/>
        </w:rPr>
        <w:t xml:space="preserve">, “Federal Acquisition Regulation: Inflation Adjustment of Acquisition-Related Thresholds” </w:t>
      </w:r>
      <w:r>
        <w:rPr>
          <w:sz w:val="24"/>
          <w:szCs w:val="24"/>
        </w:rPr>
        <w:t xml:space="preserve">became </w:t>
      </w:r>
      <w:r w:rsidRPr="0053156E">
        <w:rPr>
          <w:sz w:val="24"/>
          <w:szCs w:val="24"/>
        </w:rPr>
        <w:t xml:space="preserve">effective October 1, 2020.  </w:t>
      </w:r>
      <w:r>
        <w:rPr>
          <w:sz w:val="24"/>
          <w:szCs w:val="24"/>
        </w:rPr>
        <w:t xml:space="preserve">In summary, the </w:t>
      </w:r>
      <w:r w:rsidRPr="0053156E">
        <w:rPr>
          <w:sz w:val="24"/>
          <w:szCs w:val="24"/>
        </w:rPr>
        <w:t xml:space="preserve">DoD, GSA, and NASA have issued a final rule which amends the FAR to further implement the statute which requires an adjustment every five years of statutory acquisition-related thresholds for inflation. </w:t>
      </w:r>
    </w:p>
    <w:p w14:paraId="37F500F4" w14:textId="22949E15" w:rsidR="00FD2307" w:rsidRPr="0053156E" w:rsidRDefault="00863E97" w:rsidP="00863E97">
      <w:pPr>
        <w:rPr>
          <w:sz w:val="24"/>
          <w:szCs w:val="24"/>
        </w:rPr>
      </w:pPr>
      <w:r w:rsidRPr="0053156E">
        <w:rPr>
          <w:sz w:val="24"/>
          <w:szCs w:val="24"/>
        </w:rPr>
        <w:t>The following chart identifies</w:t>
      </w:r>
      <w:r>
        <w:rPr>
          <w:sz w:val="24"/>
          <w:szCs w:val="24"/>
        </w:rPr>
        <w:t xml:space="preserve"> common</w:t>
      </w:r>
      <w:r w:rsidRPr="0053156E">
        <w:rPr>
          <w:sz w:val="24"/>
          <w:szCs w:val="24"/>
        </w:rPr>
        <w:t xml:space="preserve"> threshold </w:t>
      </w:r>
      <w:r>
        <w:rPr>
          <w:sz w:val="24"/>
          <w:szCs w:val="24"/>
        </w:rPr>
        <w:t>changes</w:t>
      </w:r>
      <w:r w:rsidRPr="0053156E">
        <w:rPr>
          <w:sz w:val="24"/>
          <w:szCs w:val="24"/>
        </w:rPr>
        <w:t xml:space="preserve"> of this rule.</w:t>
      </w:r>
      <w:r w:rsidR="001D20FC">
        <w:rPr>
          <w:sz w:val="24"/>
          <w:szCs w:val="24"/>
        </w:rPr>
        <w:br/>
      </w:r>
    </w:p>
    <w:tbl>
      <w:tblPr>
        <w:tblStyle w:val="GridTable4"/>
        <w:tblW w:w="10780" w:type="dxa"/>
        <w:tblLook w:val="04A0" w:firstRow="1" w:lastRow="0" w:firstColumn="1" w:lastColumn="0" w:noHBand="0" w:noVBand="1"/>
      </w:tblPr>
      <w:tblGrid>
        <w:gridCol w:w="4809"/>
        <w:gridCol w:w="1890"/>
        <w:gridCol w:w="2430"/>
        <w:gridCol w:w="1651"/>
      </w:tblGrid>
      <w:tr w:rsidR="004C4EDB" w:rsidRPr="0053156E" w14:paraId="3A6C588A" w14:textId="1F705C9D" w:rsidTr="00EE54C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hideMark/>
          </w:tcPr>
          <w:p w14:paraId="4D325307" w14:textId="77777777" w:rsidR="004C4EDB" w:rsidRPr="0053156E" w:rsidRDefault="004C4EDB" w:rsidP="004C4EDB">
            <w:pPr>
              <w:jc w:val="center"/>
              <w:rPr>
                <w:b w:val="0"/>
                <w:bCs w:val="0"/>
                <w:color w:val="000000"/>
                <w:sz w:val="24"/>
                <w:szCs w:val="24"/>
              </w:rPr>
            </w:pPr>
            <w:r w:rsidRPr="0053156E">
              <w:rPr>
                <w:color w:val="000000"/>
                <w:sz w:val="24"/>
                <w:szCs w:val="24"/>
              </w:rPr>
              <w:t>Threshold</w:t>
            </w:r>
          </w:p>
        </w:tc>
        <w:tc>
          <w:tcPr>
            <w:tcW w:w="1890" w:type="dxa"/>
            <w:shd w:val="clear" w:color="auto" w:fill="auto"/>
            <w:noWrap/>
            <w:hideMark/>
          </w:tcPr>
          <w:p w14:paraId="1EA80AD6" w14:textId="0B43626B" w:rsidR="004C4EDB" w:rsidRPr="0053156E" w:rsidRDefault="004C4EDB" w:rsidP="004C4ED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53156E">
              <w:rPr>
                <w:color w:val="000000"/>
                <w:sz w:val="24"/>
                <w:szCs w:val="24"/>
              </w:rPr>
              <w:t>Old</w:t>
            </w:r>
            <w:r>
              <w:rPr>
                <w:color w:val="000000"/>
                <w:sz w:val="24"/>
                <w:szCs w:val="24"/>
              </w:rPr>
              <w:t xml:space="preserve"> Threshold</w:t>
            </w:r>
          </w:p>
        </w:tc>
        <w:tc>
          <w:tcPr>
            <w:tcW w:w="2430" w:type="dxa"/>
            <w:shd w:val="clear" w:color="auto" w:fill="auto"/>
            <w:noWrap/>
            <w:hideMark/>
          </w:tcPr>
          <w:p w14:paraId="2FB47EAC" w14:textId="4821D4AD" w:rsidR="004C4EDB" w:rsidRPr="0053156E" w:rsidRDefault="004C4EDB" w:rsidP="004C4ED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53156E">
              <w:rPr>
                <w:color w:val="000000"/>
                <w:sz w:val="24"/>
                <w:szCs w:val="24"/>
              </w:rPr>
              <w:t>New</w:t>
            </w:r>
            <w:r>
              <w:rPr>
                <w:color w:val="000000"/>
                <w:sz w:val="24"/>
                <w:szCs w:val="24"/>
              </w:rPr>
              <w:t xml:space="preserve"> Threshold</w:t>
            </w:r>
          </w:p>
        </w:tc>
        <w:tc>
          <w:tcPr>
            <w:tcW w:w="1651" w:type="dxa"/>
            <w:shd w:val="clear" w:color="auto" w:fill="auto"/>
          </w:tcPr>
          <w:p w14:paraId="349DB4F9" w14:textId="4258BC96" w:rsidR="004C4EDB" w:rsidRPr="0053156E" w:rsidRDefault="004C4EDB" w:rsidP="004C4ED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 xml:space="preserve"> FAR Reference</w:t>
            </w:r>
          </w:p>
        </w:tc>
      </w:tr>
      <w:tr w:rsidR="004C4EDB" w:rsidRPr="0053156E" w14:paraId="3FA2FBD3" w14:textId="2134884E" w:rsidTr="00EE54C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hideMark/>
          </w:tcPr>
          <w:p w14:paraId="24C58D10" w14:textId="565ED8A9" w:rsidR="004C4EDB" w:rsidRPr="0053156E" w:rsidRDefault="004C4EDB" w:rsidP="004C4EDB">
            <w:pPr>
              <w:rPr>
                <w:b w:val="0"/>
                <w:bCs w:val="0"/>
                <w:color w:val="000000"/>
                <w:sz w:val="24"/>
                <w:szCs w:val="24"/>
              </w:rPr>
            </w:pPr>
            <w:r>
              <w:rPr>
                <w:color w:val="000000"/>
                <w:sz w:val="24"/>
                <w:szCs w:val="24"/>
              </w:rPr>
              <w:t>MPT for A</w:t>
            </w:r>
            <w:r w:rsidRPr="0053156E">
              <w:rPr>
                <w:color w:val="000000"/>
                <w:sz w:val="24"/>
                <w:szCs w:val="24"/>
              </w:rPr>
              <w:t xml:space="preserve">cquisitions to Support Contingency Operations or to Facilitate Defense Against Certain Attacks </w:t>
            </w:r>
          </w:p>
        </w:tc>
        <w:tc>
          <w:tcPr>
            <w:tcW w:w="1890" w:type="dxa"/>
            <w:shd w:val="clear" w:color="auto" w:fill="auto"/>
            <w:noWrap/>
            <w:hideMark/>
          </w:tcPr>
          <w:p w14:paraId="49C159EE" w14:textId="77777777" w:rsidR="004C4EDB" w:rsidRPr="0053156E" w:rsidRDefault="004C4EDB" w:rsidP="004C4EDB">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53156E">
              <w:rPr>
                <w:color w:val="000000"/>
                <w:sz w:val="24"/>
                <w:szCs w:val="24"/>
              </w:rPr>
              <w:t>$30,000</w:t>
            </w:r>
          </w:p>
        </w:tc>
        <w:tc>
          <w:tcPr>
            <w:tcW w:w="2430" w:type="dxa"/>
            <w:shd w:val="clear" w:color="auto" w:fill="auto"/>
            <w:noWrap/>
            <w:hideMark/>
          </w:tcPr>
          <w:p w14:paraId="19A3E55E" w14:textId="77777777" w:rsidR="004C4EDB" w:rsidRPr="0053156E" w:rsidRDefault="004C4EDB" w:rsidP="004C4EDB">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53156E">
              <w:rPr>
                <w:color w:val="000000"/>
                <w:sz w:val="24"/>
                <w:szCs w:val="24"/>
              </w:rPr>
              <w:t>$35,000</w:t>
            </w:r>
          </w:p>
        </w:tc>
        <w:tc>
          <w:tcPr>
            <w:tcW w:w="1651" w:type="dxa"/>
            <w:shd w:val="clear" w:color="auto" w:fill="auto"/>
          </w:tcPr>
          <w:p w14:paraId="775DD5A0" w14:textId="0BB4B47A" w:rsidR="004C4EDB" w:rsidRPr="0053156E" w:rsidRDefault="00166DB5" w:rsidP="00126E62">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hyperlink r:id="rId23" w:anchor="FAR_2_101" w:history="1">
              <w:r w:rsidR="004C4EDB" w:rsidRPr="004C4EDB">
                <w:rPr>
                  <w:rStyle w:val="Hyperlink"/>
                  <w:sz w:val="24"/>
                  <w:szCs w:val="24"/>
                </w:rPr>
                <w:t>2.101</w:t>
              </w:r>
            </w:hyperlink>
            <w:r w:rsidR="004C4EDB">
              <w:rPr>
                <w:color w:val="000000"/>
                <w:sz w:val="24"/>
                <w:szCs w:val="24"/>
              </w:rPr>
              <w:t>,</w:t>
            </w:r>
            <w:r w:rsidR="004C4EDB">
              <w:rPr>
                <w:color w:val="000000"/>
              </w:rPr>
              <w:t xml:space="preserve"> </w:t>
            </w:r>
            <w:hyperlink r:id="rId24" w:anchor="FAR_13_201" w:history="1">
              <w:r w:rsidR="004C4EDB" w:rsidRPr="00126E62">
                <w:rPr>
                  <w:rStyle w:val="Hyperlink"/>
                  <w:sz w:val="24"/>
                  <w:szCs w:val="24"/>
                </w:rPr>
                <w:t>13.201</w:t>
              </w:r>
            </w:hyperlink>
          </w:p>
        </w:tc>
      </w:tr>
      <w:tr w:rsidR="004C4EDB" w:rsidRPr="0053156E" w14:paraId="7E729FAF" w14:textId="65D94B4A" w:rsidTr="00EE54C0">
        <w:trPr>
          <w:trHeight w:val="864"/>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hideMark/>
          </w:tcPr>
          <w:p w14:paraId="766FA9A1" w14:textId="1FA60B13" w:rsidR="004C4EDB" w:rsidRPr="0053156E" w:rsidRDefault="004C4EDB" w:rsidP="004C4EDB">
            <w:pPr>
              <w:rPr>
                <w:b w:val="0"/>
                <w:bCs w:val="0"/>
                <w:color w:val="000000"/>
                <w:sz w:val="24"/>
                <w:szCs w:val="24"/>
              </w:rPr>
            </w:pPr>
            <w:r>
              <w:rPr>
                <w:color w:val="000000"/>
                <w:sz w:val="24"/>
                <w:szCs w:val="24"/>
              </w:rPr>
              <w:t xml:space="preserve">SAT for </w:t>
            </w:r>
            <w:r w:rsidRPr="0053156E">
              <w:rPr>
                <w:color w:val="000000"/>
                <w:sz w:val="24"/>
                <w:szCs w:val="24"/>
              </w:rPr>
              <w:t xml:space="preserve">Acquisitions to Support Contingency Operations or to Facilitate Defense Against Certain Attacks </w:t>
            </w:r>
          </w:p>
        </w:tc>
        <w:tc>
          <w:tcPr>
            <w:tcW w:w="1890" w:type="dxa"/>
            <w:shd w:val="clear" w:color="auto" w:fill="auto"/>
            <w:noWrap/>
            <w:hideMark/>
          </w:tcPr>
          <w:p w14:paraId="34CB8458" w14:textId="77777777" w:rsidR="004C4EDB" w:rsidRPr="0053156E" w:rsidRDefault="004C4EDB" w:rsidP="004C4EDB">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53156E">
              <w:rPr>
                <w:color w:val="000000"/>
                <w:sz w:val="24"/>
                <w:szCs w:val="24"/>
              </w:rPr>
              <w:t>$750,000</w:t>
            </w:r>
          </w:p>
        </w:tc>
        <w:tc>
          <w:tcPr>
            <w:tcW w:w="2430" w:type="dxa"/>
            <w:shd w:val="clear" w:color="auto" w:fill="auto"/>
            <w:noWrap/>
            <w:hideMark/>
          </w:tcPr>
          <w:p w14:paraId="7EA0EB5F" w14:textId="77777777" w:rsidR="004C4EDB" w:rsidRPr="0053156E" w:rsidRDefault="004C4EDB" w:rsidP="004C4EDB">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53156E">
              <w:rPr>
                <w:color w:val="000000"/>
                <w:sz w:val="24"/>
                <w:szCs w:val="24"/>
              </w:rPr>
              <w:t>$800,000</w:t>
            </w:r>
          </w:p>
        </w:tc>
        <w:tc>
          <w:tcPr>
            <w:tcW w:w="1651" w:type="dxa"/>
            <w:shd w:val="clear" w:color="auto" w:fill="auto"/>
          </w:tcPr>
          <w:p w14:paraId="03D3B07D" w14:textId="728B3CC4" w:rsidR="004C4EDB" w:rsidRPr="00126E62" w:rsidRDefault="00166DB5" w:rsidP="004C4EDB">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25" w:anchor="FAR_2_101" w:history="1">
              <w:r w:rsidR="004C4EDB" w:rsidRPr="004C4EDB">
                <w:rPr>
                  <w:rStyle w:val="Hyperlink"/>
                  <w:sz w:val="24"/>
                  <w:szCs w:val="24"/>
                </w:rPr>
                <w:t>2.101</w:t>
              </w:r>
            </w:hyperlink>
          </w:p>
          <w:p w14:paraId="5C2A52F0" w14:textId="77777777" w:rsidR="004C4EDB" w:rsidRPr="0053156E" w:rsidRDefault="004C4EDB" w:rsidP="004C4EDB">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7F6EA7" w:rsidRPr="0053156E" w14:paraId="3FF6E1C7" w14:textId="77777777" w:rsidTr="00EE54C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tcPr>
          <w:p w14:paraId="751858C6" w14:textId="0F217575" w:rsidR="007F6EA7" w:rsidRPr="0053156E" w:rsidRDefault="007F6EA7" w:rsidP="007F6EA7">
            <w:pPr>
              <w:rPr>
                <w:b w:val="0"/>
                <w:bCs w:val="0"/>
                <w:color w:val="000000"/>
                <w:sz w:val="24"/>
                <w:szCs w:val="24"/>
              </w:rPr>
            </w:pPr>
            <w:r w:rsidRPr="0053156E">
              <w:rPr>
                <w:color w:val="000000"/>
                <w:sz w:val="24"/>
                <w:szCs w:val="24"/>
              </w:rPr>
              <w:t xml:space="preserve">Simplified Procedures for Certain Commercial Items Ceiling </w:t>
            </w:r>
          </w:p>
        </w:tc>
        <w:tc>
          <w:tcPr>
            <w:tcW w:w="1890" w:type="dxa"/>
            <w:shd w:val="clear" w:color="auto" w:fill="auto"/>
            <w:noWrap/>
          </w:tcPr>
          <w:p w14:paraId="11A3B903" w14:textId="77777777" w:rsidR="007F6EA7" w:rsidRDefault="007F6EA7" w:rsidP="007F6EA7">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53156E">
              <w:rPr>
                <w:color w:val="000000"/>
                <w:sz w:val="24"/>
                <w:szCs w:val="24"/>
              </w:rPr>
              <w:t>$7 million</w:t>
            </w:r>
          </w:p>
          <w:p w14:paraId="42129778" w14:textId="1876B255" w:rsidR="007F6EA7" w:rsidRPr="0053156E" w:rsidRDefault="007F6EA7" w:rsidP="007F6EA7">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2430" w:type="dxa"/>
            <w:shd w:val="clear" w:color="auto" w:fill="auto"/>
            <w:noWrap/>
          </w:tcPr>
          <w:p w14:paraId="239A50BF" w14:textId="77777777" w:rsidR="007F6EA7" w:rsidRDefault="007F6EA7" w:rsidP="007F6EA7">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53156E">
              <w:rPr>
                <w:color w:val="000000"/>
                <w:sz w:val="24"/>
                <w:szCs w:val="24"/>
              </w:rPr>
              <w:t>$7.5 million</w:t>
            </w:r>
          </w:p>
          <w:p w14:paraId="5E49B407" w14:textId="6E623FDD" w:rsidR="007F6EA7" w:rsidRPr="0053156E" w:rsidRDefault="007F6EA7" w:rsidP="00CE4760">
            <w:pPr>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651" w:type="dxa"/>
            <w:shd w:val="clear" w:color="auto" w:fill="auto"/>
          </w:tcPr>
          <w:p w14:paraId="4C8C5DCA" w14:textId="2D9DFE0F" w:rsidR="007F6EA7" w:rsidRDefault="00166DB5" w:rsidP="007F6EA7">
            <w:pPr>
              <w:jc w:val="center"/>
              <w:cnfStyle w:val="000000100000" w:firstRow="0" w:lastRow="0" w:firstColumn="0" w:lastColumn="0" w:oddVBand="0" w:evenVBand="0" w:oddHBand="1" w:evenHBand="0" w:firstRowFirstColumn="0" w:firstRowLastColumn="0" w:lastRowFirstColumn="0" w:lastRowLastColumn="0"/>
            </w:pPr>
            <w:hyperlink r:id="rId26" w:anchor="FAR_12_203" w:history="1">
              <w:r w:rsidR="007F6EA7" w:rsidRPr="004C4EDB">
                <w:rPr>
                  <w:rStyle w:val="Hyperlink"/>
                  <w:sz w:val="24"/>
                  <w:szCs w:val="24"/>
                </w:rPr>
                <w:t>1</w:t>
              </w:r>
              <w:r w:rsidR="007F6EA7" w:rsidRPr="00126E62">
                <w:rPr>
                  <w:rStyle w:val="Hyperlink"/>
                  <w:sz w:val="24"/>
                  <w:szCs w:val="24"/>
                </w:rPr>
                <w:t>2.203</w:t>
              </w:r>
            </w:hyperlink>
            <w:r w:rsidR="007F6EA7" w:rsidRPr="00126E62">
              <w:rPr>
                <w:rStyle w:val="Hyperlink"/>
                <w:sz w:val="24"/>
                <w:szCs w:val="24"/>
              </w:rPr>
              <w:t xml:space="preserve">, </w:t>
            </w:r>
            <w:hyperlink r:id="rId27" w:anchor="FAR_13_000" w:history="1">
              <w:r w:rsidR="007F6EA7" w:rsidRPr="00126E62">
                <w:rPr>
                  <w:rStyle w:val="Hyperlink"/>
                  <w:sz w:val="24"/>
                  <w:szCs w:val="24"/>
                </w:rPr>
                <w:t>13.000</w:t>
              </w:r>
            </w:hyperlink>
            <w:r w:rsidR="007F6EA7" w:rsidRPr="00126E62">
              <w:rPr>
                <w:rStyle w:val="Hyperlink"/>
                <w:sz w:val="24"/>
                <w:szCs w:val="24"/>
              </w:rPr>
              <w:t xml:space="preserve">, </w:t>
            </w:r>
            <w:hyperlink r:id="rId28" w:anchor="FAR_13_003" w:history="1">
              <w:r w:rsidR="007F6EA7" w:rsidRPr="00126E62">
                <w:rPr>
                  <w:rStyle w:val="Hyperlink"/>
                  <w:sz w:val="24"/>
                  <w:szCs w:val="24"/>
                </w:rPr>
                <w:t>13.003</w:t>
              </w:r>
            </w:hyperlink>
            <w:r w:rsidR="007F6EA7" w:rsidRPr="00126E62">
              <w:rPr>
                <w:rStyle w:val="Hyperlink"/>
                <w:sz w:val="24"/>
                <w:szCs w:val="24"/>
              </w:rPr>
              <w:t xml:space="preserve">, </w:t>
            </w:r>
            <w:hyperlink r:id="rId29" w:anchor="FAR_Subpart_13_5" w:history="1">
              <w:r w:rsidR="007F6EA7" w:rsidRPr="00126E62">
                <w:rPr>
                  <w:rStyle w:val="Hyperlink"/>
                  <w:sz w:val="24"/>
                  <w:szCs w:val="24"/>
                </w:rPr>
                <w:t>13.5</w:t>
              </w:r>
            </w:hyperlink>
          </w:p>
        </w:tc>
      </w:tr>
      <w:tr w:rsidR="007F6EA7" w:rsidRPr="0053156E" w14:paraId="273F94A7" w14:textId="3A67A884" w:rsidTr="00EE54C0">
        <w:trPr>
          <w:trHeight w:val="576"/>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tcPr>
          <w:p w14:paraId="1023867B" w14:textId="5EB2780D" w:rsidR="007F6EA7" w:rsidRPr="0053156E" w:rsidRDefault="0092222F" w:rsidP="007F6EA7">
            <w:pPr>
              <w:rPr>
                <w:b w:val="0"/>
                <w:bCs w:val="0"/>
                <w:color w:val="000000"/>
                <w:sz w:val="24"/>
                <w:szCs w:val="24"/>
              </w:rPr>
            </w:pPr>
            <w:r w:rsidRPr="0053156E">
              <w:rPr>
                <w:color w:val="000000"/>
                <w:sz w:val="24"/>
                <w:szCs w:val="24"/>
              </w:rPr>
              <w:t xml:space="preserve">Simplified Procedures for Certain Commercial Items Ceiling </w:t>
            </w:r>
            <w:r>
              <w:rPr>
                <w:color w:val="000000"/>
                <w:sz w:val="24"/>
                <w:szCs w:val="24"/>
              </w:rPr>
              <w:t xml:space="preserve">– Emergency Declaration </w:t>
            </w:r>
          </w:p>
        </w:tc>
        <w:tc>
          <w:tcPr>
            <w:tcW w:w="1890" w:type="dxa"/>
            <w:shd w:val="clear" w:color="auto" w:fill="auto"/>
            <w:noWrap/>
          </w:tcPr>
          <w:p w14:paraId="3DEADABA" w14:textId="76818518" w:rsidR="007F6EA7" w:rsidRPr="0053156E" w:rsidRDefault="00CE4760" w:rsidP="007F6EA7">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rPr>
              <w:t xml:space="preserve">$13 million for acquisitions in FAR </w:t>
            </w:r>
            <w:r w:rsidR="0092222F">
              <w:rPr>
                <w:color w:val="000000"/>
                <w:sz w:val="24"/>
                <w:szCs w:val="24"/>
              </w:rPr>
              <w:t xml:space="preserve">13.500(c) </w:t>
            </w:r>
          </w:p>
        </w:tc>
        <w:tc>
          <w:tcPr>
            <w:tcW w:w="2430" w:type="dxa"/>
            <w:shd w:val="clear" w:color="auto" w:fill="auto"/>
            <w:noWrap/>
          </w:tcPr>
          <w:p w14:paraId="75D5D454" w14:textId="04CB83C9" w:rsidR="007F6EA7" w:rsidRPr="0053156E" w:rsidRDefault="00CE4760" w:rsidP="007F6EA7">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$15 million for acquisition in FAR 13.500(c)</w:t>
            </w:r>
          </w:p>
        </w:tc>
        <w:tc>
          <w:tcPr>
            <w:tcW w:w="1651" w:type="dxa"/>
            <w:shd w:val="clear" w:color="auto" w:fill="auto"/>
          </w:tcPr>
          <w:p w14:paraId="34E7156F" w14:textId="77777777" w:rsidR="007F6EA7" w:rsidRDefault="00166DB5" w:rsidP="007F6EA7">
            <w:pPr>
              <w:jc w:val="center"/>
              <w:cnfStyle w:val="000000000000" w:firstRow="0" w:lastRow="0" w:firstColumn="0" w:lastColumn="0" w:oddVBand="0" w:evenVBand="0" w:oddHBand="0" w:evenHBand="0" w:firstRowFirstColumn="0" w:firstRowLastColumn="0" w:lastRowFirstColumn="0" w:lastRowLastColumn="0"/>
            </w:pPr>
            <w:hyperlink r:id="rId30" w:anchor="FAR_13_500" w:history="1">
              <w:r w:rsidR="00CE4760" w:rsidRPr="00CE4760">
                <w:rPr>
                  <w:rStyle w:val="Hyperlink"/>
                </w:rPr>
                <w:t>13.500(c)</w:t>
              </w:r>
            </w:hyperlink>
          </w:p>
          <w:p w14:paraId="35B8A4A0" w14:textId="43234FE7" w:rsidR="00D40910" w:rsidRPr="0053156E" w:rsidRDefault="00166DB5" w:rsidP="007F6EA7">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hyperlink r:id="rId31" w:history="1">
              <w:r w:rsidR="00D40910" w:rsidRPr="00D40910">
                <w:rPr>
                  <w:rStyle w:val="Hyperlink"/>
                </w:rPr>
                <w:t>13.500(c)(1)</w:t>
              </w:r>
            </w:hyperlink>
          </w:p>
        </w:tc>
      </w:tr>
    </w:tbl>
    <w:p w14:paraId="23262369" w14:textId="625FB853" w:rsidR="00AA08EE" w:rsidRDefault="00AA08EE" w:rsidP="00AD69EA">
      <w:pPr>
        <w:spacing w:line="240" w:lineRule="auto"/>
        <w:rPr>
          <w:sz w:val="24"/>
          <w:szCs w:val="24"/>
        </w:rPr>
      </w:pPr>
    </w:p>
    <w:p w14:paraId="0D2F2D9C" w14:textId="0D20D464" w:rsidR="001D20FC" w:rsidRDefault="0005495D" w:rsidP="00AD69EA">
      <w:pPr>
        <w:spacing w:line="240" w:lineRule="auto"/>
        <w:rPr>
          <w:sz w:val="24"/>
          <w:szCs w:val="24"/>
        </w:rPr>
      </w:pPr>
      <w:r>
        <w:rPr>
          <w:sz w:val="24"/>
          <w:szCs w:val="24"/>
        </w:rPr>
        <w:t xml:space="preserve">To see a full list of thresholds affected by FAC 2021-01, please visit </w:t>
      </w:r>
      <w:hyperlink r:id="rId32" w:history="1">
        <w:r w:rsidRPr="0005495D">
          <w:rPr>
            <w:rStyle w:val="Hyperlink"/>
            <w:sz w:val="24"/>
            <w:szCs w:val="24"/>
          </w:rPr>
          <w:t>Acquisition.gov</w:t>
        </w:r>
      </w:hyperlink>
      <w:r>
        <w:rPr>
          <w:sz w:val="24"/>
          <w:szCs w:val="24"/>
        </w:rPr>
        <w:t xml:space="preserve">, </w:t>
      </w:r>
      <w:hyperlink r:id="rId33" w:anchor="id20AKB30F0Y4" w:history="1">
        <w:r w:rsidRPr="0005495D">
          <w:rPr>
            <w:rStyle w:val="Hyperlink"/>
            <w:sz w:val="24"/>
            <w:szCs w:val="24"/>
          </w:rPr>
          <w:t>List of Sections Affected FAC 2021-01 Effective October 1, 2020.</w:t>
        </w:r>
      </w:hyperlink>
    </w:p>
    <w:p w14:paraId="1312E05C" w14:textId="58052E9A" w:rsidR="001D20FC" w:rsidRDefault="001D20FC" w:rsidP="00AD69EA">
      <w:pPr>
        <w:spacing w:line="240" w:lineRule="auto"/>
        <w:rPr>
          <w:sz w:val="24"/>
          <w:szCs w:val="24"/>
        </w:rPr>
      </w:pPr>
    </w:p>
    <w:p w14:paraId="59D9BF0F" w14:textId="1183789F" w:rsidR="00CB6BB5" w:rsidRDefault="00CB6BB5" w:rsidP="00AD69EA">
      <w:pPr>
        <w:spacing w:line="240" w:lineRule="auto"/>
        <w:rPr>
          <w:sz w:val="24"/>
          <w:szCs w:val="24"/>
        </w:rPr>
      </w:pPr>
    </w:p>
    <w:p w14:paraId="7BB71AE3" w14:textId="77777777" w:rsidR="00CB6BB5" w:rsidRDefault="00CB6BB5" w:rsidP="00AD69EA">
      <w:pPr>
        <w:spacing w:line="240" w:lineRule="auto"/>
        <w:rPr>
          <w:sz w:val="24"/>
          <w:szCs w:val="24"/>
        </w:rPr>
      </w:pPr>
    </w:p>
    <w:p w14:paraId="3B8F4F8C" w14:textId="77777777" w:rsidR="00CE4760" w:rsidRPr="00AD69EA" w:rsidRDefault="00CE4760" w:rsidP="00AD69EA">
      <w:pPr>
        <w:spacing w:line="240" w:lineRule="auto"/>
        <w:rPr>
          <w:sz w:val="24"/>
          <w:szCs w:val="24"/>
        </w:rPr>
      </w:pPr>
    </w:p>
    <w:p w14:paraId="45FDD285" w14:textId="7F4AC177" w:rsidR="00A71D04" w:rsidRPr="00A71D04" w:rsidRDefault="00A71D04" w:rsidP="00E21CC1">
      <w:pPr>
        <w:pStyle w:val="Heading1"/>
      </w:pPr>
      <w:r w:rsidRPr="00A71D04">
        <w:t>NIH Small Business Program Office Hosts Second Federal Industry Day</w:t>
      </w:r>
    </w:p>
    <w:p w14:paraId="107D2A5C" w14:textId="77777777" w:rsidR="00A71D04" w:rsidRPr="00E21CC1" w:rsidRDefault="00A71D04" w:rsidP="00A71D04">
      <w:pPr>
        <w:spacing w:after="0"/>
        <w:rPr>
          <w:sz w:val="24"/>
          <w:szCs w:val="24"/>
        </w:rPr>
      </w:pPr>
      <w:r w:rsidRPr="00E21CC1">
        <w:rPr>
          <w:sz w:val="24"/>
          <w:szCs w:val="24"/>
        </w:rPr>
        <w:lastRenderedPageBreak/>
        <w:t xml:space="preserve">The National Institutes of Health (NIH) provided Federal agencies with a venue to discuss future procurement opportunities with Historically Black Colleges and Universities (HBCUs) during the 2020 Federal HBCU Industry Day on September 25, 2020. </w:t>
      </w:r>
    </w:p>
    <w:p w14:paraId="2CCECB1D" w14:textId="77777777" w:rsidR="00A71D04" w:rsidRPr="00E21CC1" w:rsidRDefault="00A71D04" w:rsidP="00A71D04">
      <w:pPr>
        <w:spacing w:after="0"/>
        <w:rPr>
          <w:sz w:val="24"/>
          <w:szCs w:val="24"/>
        </w:rPr>
      </w:pPr>
    </w:p>
    <w:p w14:paraId="1452DA26" w14:textId="77777777" w:rsidR="00A71D04" w:rsidRPr="00E21CC1" w:rsidRDefault="00A71D04" w:rsidP="00A71D04">
      <w:pPr>
        <w:spacing w:after="0"/>
        <w:rPr>
          <w:sz w:val="24"/>
          <w:szCs w:val="24"/>
        </w:rPr>
      </w:pPr>
      <w:r w:rsidRPr="00E21CC1">
        <w:rPr>
          <w:sz w:val="24"/>
          <w:szCs w:val="24"/>
        </w:rPr>
        <w:t>The activity, which was part of the 2020 White House Initiative on HBCUs’ virtual conference, attracted 27 HBCUs who engaged 43 agencies in matchmaking sessions. Among them were nine NIH Consolidated Operations Acquisition Centers (COACs), as well as the Department of Health and Human Services Office of Small and Disadvantaged Business Utilization (OSDBU). Participation in this year’s matchmaking event recorded a double-digit increase for both HBCUs and Federal agencies. HBCU participation grew by 69% from 2019 while representation from agencies rose 41% from 2019.</w:t>
      </w:r>
    </w:p>
    <w:p w14:paraId="4987A9A3" w14:textId="77777777" w:rsidR="00A71D04" w:rsidRPr="00E21CC1" w:rsidRDefault="00A71D04" w:rsidP="00A71D04">
      <w:pPr>
        <w:spacing w:after="0"/>
        <w:rPr>
          <w:sz w:val="24"/>
          <w:szCs w:val="24"/>
        </w:rPr>
      </w:pPr>
    </w:p>
    <w:p w14:paraId="7483B724" w14:textId="77777777" w:rsidR="00A71D04" w:rsidRPr="00E21CC1" w:rsidRDefault="00A71D04" w:rsidP="00A71D04">
      <w:pPr>
        <w:spacing w:after="0"/>
        <w:rPr>
          <w:sz w:val="24"/>
          <w:szCs w:val="24"/>
        </w:rPr>
      </w:pPr>
      <w:r w:rsidRPr="00E21CC1">
        <w:rPr>
          <w:sz w:val="24"/>
          <w:szCs w:val="24"/>
        </w:rPr>
        <w:t xml:space="preserve">Typically, the last week of September is recognized by the White House Initiative on HBCUs as National HBCU Week and includes a </w:t>
      </w:r>
      <w:proofErr w:type="gramStart"/>
      <w:r w:rsidRPr="00E21CC1">
        <w:rPr>
          <w:sz w:val="24"/>
          <w:szCs w:val="24"/>
        </w:rPr>
        <w:t>conference drawing thousands</w:t>
      </w:r>
      <w:proofErr w:type="gramEnd"/>
      <w:r w:rsidRPr="00E21CC1">
        <w:rPr>
          <w:sz w:val="24"/>
          <w:szCs w:val="24"/>
        </w:rPr>
        <w:t xml:space="preserve"> of HBCU leaders and advocates to the nation’s capital. This year, because of the global pandemic, the meeting was held virtually. </w:t>
      </w:r>
    </w:p>
    <w:p w14:paraId="7C15D39D" w14:textId="77777777" w:rsidR="00A71D04" w:rsidRPr="00E21CC1" w:rsidRDefault="00A71D04" w:rsidP="00A71D04">
      <w:pPr>
        <w:spacing w:after="0"/>
        <w:rPr>
          <w:sz w:val="24"/>
          <w:szCs w:val="24"/>
        </w:rPr>
      </w:pPr>
    </w:p>
    <w:p w14:paraId="6C6431D5" w14:textId="77777777" w:rsidR="00A71D04" w:rsidRPr="00E21CC1" w:rsidRDefault="00A71D04" w:rsidP="00A71D04">
      <w:pPr>
        <w:spacing w:after="0"/>
        <w:rPr>
          <w:sz w:val="24"/>
          <w:szCs w:val="24"/>
        </w:rPr>
      </w:pPr>
      <w:r w:rsidRPr="00E21CC1">
        <w:rPr>
          <w:sz w:val="24"/>
          <w:szCs w:val="24"/>
        </w:rPr>
        <w:t>Events during the last two days of the conference focused on increasing HBCUs’ competitiveness in Federal contracting. Three contracting workshops were held on September 24 and a Federal Industry Day that included matchmaking followed on September 25, 2020. During these one-on-one conversations, HBCU representatives had the opportunity to present their institutions’ technical capabilities to Federal procurement officials responsible for acquiring goods and services for the government.</w:t>
      </w:r>
    </w:p>
    <w:p w14:paraId="5AD8A5B3" w14:textId="77777777" w:rsidR="00A71D04" w:rsidRPr="00E21CC1" w:rsidRDefault="00A71D04" w:rsidP="00A71D04">
      <w:pPr>
        <w:spacing w:after="0"/>
        <w:rPr>
          <w:sz w:val="24"/>
          <w:szCs w:val="24"/>
        </w:rPr>
      </w:pPr>
    </w:p>
    <w:p w14:paraId="44599E77" w14:textId="77777777" w:rsidR="00A71D04" w:rsidRPr="00E21CC1" w:rsidRDefault="00A71D04" w:rsidP="00A71D04">
      <w:pPr>
        <w:spacing w:after="0"/>
        <w:rPr>
          <w:sz w:val="24"/>
          <w:szCs w:val="24"/>
        </w:rPr>
      </w:pPr>
      <w:r w:rsidRPr="00E21CC1">
        <w:rPr>
          <w:sz w:val="24"/>
          <w:szCs w:val="24"/>
        </w:rPr>
        <w:t xml:space="preserve">The NIH Federal Industry Day’s opening session featured remarks from </w:t>
      </w:r>
      <w:bookmarkStart w:id="2" w:name="_Hlk53728471"/>
      <w:r w:rsidRPr="00E21CC1">
        <w:rPr>
          <w:sz w:val="24"/>
          <w:szCs w:val="24"/>
        </w:rPr>
        <w:t>Dr. Michael Wooten, Administrator, Office of Federal Procurement Policy, Office of Management and Budget</w:t>
      </w:r>
      <w:bookmarkEnd w:id="2"/>
      <w:r w:rsidRPr="00E21CC1">
        <w:rPr>
          <w:sz w:val="24"/>
          <w:szCs w:val="24"/>
        </w:rPr>
        <w:t xml:space="preserve"> (OMB). Dr. Wooten discussed the potential impact of </w:t>
      </w:r>
      <w:hyperlink r:id="rId34" w:history="1">
        <w:r w:rsidRPr="00E21CC1">
          <w:rPr>
            <w:rStyle w:val="Hyperlink"/>
            <w:sz w:val="24"/>
            <w:szCs w:val="24"/>
          </w:rPr>
          <w:t>White House OMB Memorandum M-20-28</w:t>
        </w:r>
      </w:hyperlink>
      <w:r w:rsidRPr="00E21CC1">
        <w:rPr>
          <w:sz w:val="24"/>
          <w:szCs w:val="24"/>
        </w:rPr>
        <w:t xml:space="preserve">, which urges agencies to leverage HBCUs. Other speakers included Diane Frasier, Head of Contracting Activity, Director Office of Acquisition and Logistics Management; </w:t>
      </w:r>
      <w:bookmarkStart w:id="3" w:name="_Hlk53728371"/>
      <w:r w:rsidRPr="00E21CC1">
        <w:rPr>
          <w:sz w:val="24"/>
          <w:szCs w:val="24"/>
        </w:rPr>
        <w:t>and Annette Owens-Scarboro, NIH Small Business Program Manager</w:t>
      </w:r>
      <w:bookmarkEnd w:id="3"/>
      <w:r w:rsidRPr="00E21CC1">
        <w:rPr>
          <w:sz w:val="24"/>
          <w:szCs w:val="24"/>
        </w:rPr>
        <w:t>.</w:t>
      </w:r>
    </w:p>
    <w:p w14:paraId="3D211E49" w14:textId="77777777" w:rsidR="00A71D04" w:rsidRPr="00E21CC1" w:rsidRDefault="00A71D04" w:rsidP="00A71D04">
      <w:pPr>
        <w:spacing w:after="0"/>
        <w:rPr>
          <w:sz w:val="24"/>
          <w:szCs w:val="24"/>
        </w:rPr>
      </w:pPr>
    </w:p>
    <w:p w14:paraId="3A93B54E" w14:textId="77777777" w:rsidR="00A71D04" w:rsidRPr="00E21CC1" w:rsidRDefault="00A71D04" w:rsidP="00A71D04">
      <w:pPr>
        <w:spacing w:after="0"/>
        <w:rPr>
          <w:sz w:val="24"/>
          <w:szCs w:val="24"/>
        </w:rPr>
      </w:pPr>
      <w:r w:rsidRPr="00E21CC1">
        <w:rPr>
          <w:sz w:val="24"/>
          <w:szCs w:val="24"/>
        </w:rPr>
        <w:t>“About 40% of the government’s discretionary spending goes to contracts for goods and services,” said Frasier. “In fiscal year 2019, the Federal government spent more than $560 billion in contracts.”</w:t>
      </w:r>
    </w:p>
    <w:p w14:paraId="4F9F428F" w14:textId="77777777" w:rsidR="00A71D04" w:rsidRPr="00E21CC1" w:rsidRDefault="00A71D04" w:rsidP="00A71D04">
      <w:pPr>
        <w:spacing w:after="0"/>
        <w:rPr>
          <w:sz w:val="24"/>
          <w:szCs w:val="24"/>
        </w:rPr>
      </w:pPr>
    </w:p>
    <w:p w14:paraId="2BC93DE5" w14:textId="77777777" w:rsidR="00A71D04" w:rsidRPr="00E21CC1" w:rsidRDefault="00A71D04" w:rsidP="00A71D04">
      <w:pPr>
        <w:spacing w:after="0"/>
        <w:rPr>
          <w:sz w:val="24"/>
          <w:szCs w:val="24"/>
        </w:rPr>
      </w:pPr>
      <w:r w:rsidRPr="00E21CC1">
        <w:rPr>
          <w:sz w:val="24"/>
          <w:szCs w:val="24"/>
        </w:rPr>
        <w:t xml:space="preserve">According to Frasier, revenue from Federal government contracts is relevant to HBCUs because “they can create more jobs on campus, which will also stimulate local economies and provide employment opportunities for students.” </w:t>
      </w:r>
    </w:p>
    <w:p w14:paraId="62583AC7" w14:textId="77777777" w:rsidR="00A71D04" w:rsidRPr="00E21CC1" w:rsidRDefault="00A71D04" w:rsidP="00A71D04">
      <w:pPr>
        <w:spacing w:after="0"/>
        <w:rPr>
          <w:sz w:val="24"/>
          <w:szCs w:val="24"/>
        </w:rPr>
      </w:pPr>
    </w:p>
    <w:p w14:paraId="6DD3D429" w14:textId="77777777" w:rsidR="00A71D04" w:rsidRPr="00E21CC1" w:rsidRDefault="00A71D04" w:rsidP="00A71D04">
      <w:pPr>
        <w:spacing w:after="0"/>
        <w:rPr>
          <w:sz w:val="24"/>
          <w:szCs w:val="24"/>
        </w:rPr>
      </w:pPr>
      <w:r w:rsidRPr="00E21CC1">
        <w:rPr>
          <w:sz w:val="24"/>
          <w:szCs w:val="24"/>
        </w:rPr>
        <w:t xml:space="preserve">“Despite the changes in the way America must conduct business in 2020, one thing has not changed: Federal agencies must continue to procure goods and services to fulfill their missions,” said Owens-Scarboro. “As the procurement forecast and acquisition plans are drafted for FY21, it is critical for Historically Black Colleges and Universities to have a seat at the table.” </w:t>
      </w:r>
    </w:p>
    <w:p w14:paraId="727F0A00" w14:textId="77777777" w:rsidR="00A71D04" w:rsidRPr="00E21CC1" w:rsidRDefault="00A71D04" w:rsidP="00A71D04">
      <w:pPr>
        <w:spacing w:after="0"/>
        <w:rPr>
          <w:sz w:val="24"/>
          <w:szCs w:val="24"/>
        </w:rPr>
      </w:pPr>
    </w:p>
    <w:p w14:paraId="0EAF8B6D" w14:textId="77777777" w:rsidR="00A71D04" w:rsidRPr="00E21CC1" w:rsidRDefault="00A71D04" w:rsidP="00A71D04">
      <w:pPr>
        <w:spacing w:after="0"/>
        <w:rPr>
          <w:sz w:val="24"/>
          <w:szCs w:val="24"/>
        </w:rPr>
      </w:pPr>
      <w:r w:rsidRPr="00E21CC1">
        <w:rPr>
          <w:sz w:val="24"/>
          <w:szCs w:val="24"/>
        </w:rPr>
        <w:t xml:space="preserve">Frasier and Owens-Scarboro have been working for several years to increase their agency’s engagement with HBCUs in accordance with the White House Presidential Executive Order 13779, which directs agencies to develop plans to assist in strengthening HBCUs’ ability to equitably participate in Federal programs through contracts, grants and cooperative agreements.  They established the Path to Excellence and Innovation Initiative to provide outreach, training and technical assistance to HBCUs interested in pursuing contracts at the NIH and other Federal agencies. </w:t>
      </w:r>
    </w:p>
    <w:p w14:paraId="7F849DF3" w14:textId="77777777" w:rsidR="00A71D04" w:rsidRPr="00E21CC1" w:rsidRDefault="00A71D04" w:rsidP="00A71D04">
      <w:pPr>
        <w:spacing w:after="0"/>
        <w:rPr>
          <w:sz w:val="24"/>
          <w:szCs w:val="24"/>
        </w:rPr>
      </w:pPr>
    </w:p>
    <w:p w14:paraId="1DAC6CD0" w14:textId="5EE43514" w:rsidR="00A71D04" w:rsidRPr="00E21CC1" w:rsidRDefault="00A71D04" w:rsidP="00A71D04">
      <w:pPr>
        <w:spacing w:after="0"/>
        <w:rPr>
          <w:sz w:val="24"/>
          <w:szCs w:val="24"/>
        </w:rPr>
      </w:pPr>
      <w:r w:rsidRPr="00E21CC1">
        <w:rPr>
          <w:sz w:val="24"/>
          <w:szCs w:val="24"/>
        </w:rPr>
        <w:t xml:space="preserve">The University of the Virgin Islands (UVI) is one of six HBCUs participating in the initiative’s pilot program.  During the conference, UVI President Dr. David Hall highlighted a partnership with entrepreneur and biologist Donald </w:t>
      </w:r>
      <w:proofErr w:type="spellStart"/>
      <w:r w:rsidRPr="00E21CC1">
        <w:rPr>
          <w:sz w:val="24"/>
          <w:szCs w:val="24"/>
        </w:rPr>
        <w:t>Toatley</w:t>
      </w:r>
      <w:proofErr w:type="spellEnd"/>
      <w:r w:rsidRPr="00E21CC1">
        <w:rPr>
          <w:sz w:val="24"/>
          <w:szCs w:val="24"/>
        </w:rPr>
        <w:t>. Together they developed the Safe Pass Intelligent Disinfectant Station, a science-based technology designed to mitigate the consequences of COVID-19.</w:t>
      </w:r>
    </w:p>
    <w:p w14:paraId="73D5318E" w14:textId="77777777" w:rsidR="00A8321E" w:rsidRPr="00E21CC1" w:rsidRDefault="00A8321E" w:rsidP="00A71D04">
      <w:pPr>
        <w:spacing w:after="0"/>
        <w:rPr>
          <w:sz w:val="24"/>
          <w:szCs w:val="24"/>
        </w:rPr>
      </w:pPr>
    </w:p>
    <w:p w14:paraId="7AD73303" w14:textId="77777777" w:rsidR="00A71D04" w:rsidRPr="00E21CC1" w:rsidRDefault="00A71D04" w:rsidP="00A71D04">
      <w:pPr>
        <w:spacing w:after="0"/>
        <w:rPr>
          <w:sz w:val="24"/>
          <w:szCs w:val="24"/>
        </w:rPr>
      </w:pPr>
      <w:r w:rsidRPr="00E21CC1">
        <w:rPr>
          <w:sz w:val="24"/>
          <w:szCs w:val="24"/>
        </w:rPr>
        <w:t xml:space="preserve">(To view the video that was presented, visit: </w:t>
      </w:r>
      <w:hyperlink r:id="rId35" w:history="1">
        <w:r w:rsidRPr="00E21CC1">
          <w:rPr>
            <w:rStyle w:val="Hyperlink"/>
            <w:sz w:val="24"/>
            <w:szCs w:val="24"/>
          </w:rPr>
          <w:t>https://youtu.be/DJnBmRoKOBA</w:t>
        </w:r>
      </w:hyperlink>
      <w:r w:rsidRPr="00E21CC1">
        <w:rPr>
          <w:sz w:val="24"/>
          <w:szCs w:val="24"/>
        </w:rPr>
        <w:t xml:space="preserve">) </w:t>
      </w:r>
    </w:p>
    <w:p w14:paraId="2CCCF6EC" w14:textId="77777777" w:rsidR="00A71D04" w:rsidRPr="00E21CC1" w:rsidRDefault="00A71D04" w:rsidP="00A71D04">
      <w:pPr>
        <w:spacing w:after="0"/>
        <w:rPr>
          <w:sz w:val="24"/>
          <w:szCs w:val="24"/>
        </w:rPr>
      </w:pPr>
    </w:p>
    <w:p w14:paraId="4E2986E3" w14:textId="77777777" w:rsidR="00A71D04" w:rsidRPr="00E21CC1" w:rsidRDefault="00A71D04" w:rsidP="00A71D04">
      <w:pPr>
        <w:spacing w:after="0"/>
        <w:rPr>
          <w:sz w:val="24"/>
          <w:szCs w:val="24"/>
        </w:rPr>
      </w:pPr>
      <w:r w:rsidRPr="00E21CC1">
        <w:rPr>
          <w:sz w:val="24"/>
          <w:szCs w:val="24"/>
        </w:rPr>
        <w:t xml:space="preserve">The NIH received logistical and management support for the virtual conference from its 8(a) contractor Supreme Solutions, Inc. </w:t>
      </w:r>
    </w:p>
    <w:p w14:paraId="2A28936C" w14:textId="77777777" w:rsidR="00A71D04" w:rsidRPr="00E21CC1" w:rsidRDefault="00A71D04" w:rsidP="00A71D04">
      <w:pPr>
        <w:spacing w:after="0"/>
        <w:rPr>
          <w:sz w:val="24"/>
          <w:szCs w:val="24"/>
        </w:rPr>
      </w:pPr>
    </w:p>
    <w:p w14:paraId="71AC71B8" w14:textId="77777777" w:rsidR="00A71D04" w:rsidRPr="00E21CC1" w:rsidRDefault="00A71D04" w:rsidP="00A71D04">
      <w:pPr>
        <w:spacing w:after="0"/>
        <w:rPr>
          <w:sz w:val="24"/>
          <w:szCs w:val="24"/>
        </w:rPr>
      </w:pPr>
      <w:r w:rsidRPr="00E21CC1">
        <w:rPr>
          <w:sz w:val="24"/>
          <w:szCs w:val="24"/>
        </w:rPr>
        <w:t xml:space="preserve">The NIH will be creating new opportunities for HBCUs to increase their contracting competitiveness in the new fiscal year, so keep an eye on the agency’s website: </w:t>
      </w:r>
      <w:hyperlink r:id="rId36" w:history="1">
        <w:r w:rsidRPr="00E21CC1">
          <w:rPr>
            <w:rStyle w:val="Hyperlink"/>
            <w:sz w:val="24"/>
            <w:szCs w:val="24"/>
          </w:rPr>
          <w:t>https://oamp.od.nih.gov/content/nih-path-excellence-innovation-initiative</w:t>
        </w:r>
      </w:hyperlink>
      <w:r w:rsidRPr="00E21CC1">
        <w:rPr>
          <w:sz w:val="24"/>
          <w:szCs w:val="24"/>
        </w:rPr>
        <w:t xml:space="preserve"> </w:t>
      </w:r>
    </w:p>
    <w:p w14:paraId="7F9397BA" w14:textId="77777777" w:rsidR="00A71D04" w:rsidRPr="00E21CC1" w:rsidRDefault="00A71D04" w:rsidP="00A71D04">
      <w:pPr>
        <w:spacing w:after="0"/>
        <w:rPr>
          <w:b/>
          <w:bCs/>
          <w:sz w:val="24"/>
          <w:szCs w:val="24"/>
        </w:rPr>
      </w:pPr>
    </w:p>
    <w:p w14:paraId="5C30AC63" w14:textId="77777777" w:rsidR="00A71D04" w:rsidRPr="00E21CC1" w:rsidRDefault="00A71D04" w:rsidP="00A71D04">
      <w:pPr>
        <w:spacing w:after="0"/>
        <w:jc w:val="center"/>
        <w:rPr>
          <w:b/>
          <w:bCs/>
          <w:sz w:val="24"/>
          <w:szCs w:val="24"/>
        </w:rPr>
      </w:pPr>
      <w:r w:rsidRPr="00E21CC1">
        <w:rPr>
          <w:b/>
          <w:bCs/>
          <w:sz w:val="24"/>
          <w:szCs w:val="24"/>
        </w:rPr>
        <w:t>Photos</w:t>
      </w:r>
    </w:p>
    <w:p w14:paraId="52522882" w14:textId="77777777" w:rsidR="00A71D04" w:rsidRPr="00E21CC1" w:rsidRDefault="00A71D04" w:rsidP="00A71D04">
      <w:pPr>
        <w:spacing w:after="0"/>
        <w:jc w:val="center"/>
        <w:rPr>
          <w:sz w:val="24"/>
          <w:szCs w:val="24"/>
        </w:rPr>
      </w:pPr>
      <w:r w:rsidRPr="00E21CC1">
        <w:rPr>
          <w:noProof/>
          <w:sz w:val="24"/>
          <w:szCs w:val="24"/>
        </w:rPr>
        <w:drawing>
          <wp:inline distT="0" distB="0" distL="0" distR="0" wp14:anchorId="216B83D4" wp14:editId="34AD0EAB">
            <wp:extent cx="2162175" cy="1109038"/>
            <wp:effectExtent l="0" t="0" r="0" b="0"/>
            <wp:docPr id="6" name="Picture 6" descr="Annette Owens-Scarboro, NIH Small Business Program Manager&#10;Diane Frasier, Head of Contracting Activity and Director of the Office of Acquisition and Logistics Manage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2-Annette and Diane Frasier.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183662" cy="1120059"/>
                    </a:xfrm>
                    <a:prstGeom prst="rect">
                      <a:avLst/>
                    </a:prstGeom>
                  </pic:spPr>
                </pic:pic>
              </a:graphicData>
            </a:graphic>
          </wp:inline>
        </w:drawing>
      </w:r>
    </w:p>
    <w:p w14:paraId="34E8D533" w14:textId="77777777" w:rsidR="00A71D04" w:rsidRPr="00E21CC1" w:rsidRDefault="00A71D04" w:rsidP="00A71D04">
      <w:pPr>
        <w:spacing w:after="0"/>
        <w:jc w:val="center"/>
        <w:rPr>
          <w:sz w:val="24"/>
          <w:szCs w:val="24"/>
        </w:rPr>
      </w:pPr>
      <w:r w:rsidRPr="00E21CC1">
        <w:rPr>
          <w:sz w:val="24"/>
          <w:szCs w:val="24"/>
        </w:rPr>
        <w:t>Annette Owens-Scarboro, NIH Small Business Program Manager</w:t>
      </w:r>
    </w:p>
    <w:p w14:paraId="6347D46D" w14:textId="77777777" w:rsidR="00A71D04" w:rsidRPr="00E21CC1" w:rsidRDefault="00A71D04" w:rsidP="00A71D04">
      <w:pPr>
        <w:spacing w:after="0"/>
        <w:jc w:val="center"/>
        <w:rPr>
          <w:sz w:val="24"/>
          <w:szCs w:val="24"/>
        </w:rPr>
      </w:pPr>
      <w:r w:rsidRPr="00E21CC1">
        <w:rPr>
          <w:sz w:val="24"/>
          <w:szCs w:val="24"/>
        </w:rPr>
        <w:t>Diane Frasier, Head of Contracting Activity and Director of the Office of Acquisition and Logistics Management</w:t>
      </w:r>
    </w:p>
    <w:p w14:paraId="55AD3DB3" w14:textId="77777777" w:rsidR="00A71D04" w:rsidRPr="00E21CC1" w:rsidRDefault="00A71D04" w:rsidP="00A71D04">
      <w:pPr>
        <w:spacing w:after="0"/>
        <w:jc w:val="center"/>
        <w:rPr>
          <w:sz w:val="24"/>
          <w:szCs w:val="24"/>
        </w:rPr>
      </w:pPr>
    </w:p>
    <w:p w14:paraId="7224EFA4" w14:textId="77777777" w:rsidR="00A71D04" w:rsidRPr="00E21CC1" w:rsidRDefault="00A71D04" w:rsidP="00A71D04">
      <w:pPr>
        <w:spacing w:after="0"/>
        <w:jc w:val="center"/>
        <w:rPr>
          <w:sz w:val="24"/>
          <w:szCs w:val="24"/>
        </w:rPr>
      </w:pPr>
      <w:r w:rsidRPr="00E21CC1">
        <w:rPr>
          <w:noProof/>
          <w:sz w:val="24"/>
          <w:szCs w:val="24"/>
        </w:rPr>
        <w:drawing>
          <wp:inline distT="0" distB="0" distL="0" distR="0" wp14:anchorId="6E1887DE" wp14:editId="3E213002">
            <wp:extent cx="2152650" cy="1231103"/>
            <wp:effectExtent l="0" t="0" r="0" b="0"/>
            <wp:docPr id="8" name="Picture 8" descr="Dr. Michael Wooten, Administrator, Office of Federal Procurement Policy, Office of Management and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 3 - DrWoote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67947" cy="1239851"/>
                    </a:xfrm>
                    <a:prstGeom prst="rect">
                      <a:avLst/>
                    </a:prstGeom>
                  </pic:spPr>
                </pic:pic>
              </a:graphicData>
            </a:graphic>
          </wp:inline>
        </w:drawing>
      </w:r>
    </w:p>
    <w:p w14:paraId="0E0A4AD6" w14:textId="77777777" w:rsidR="00A71D04" w:rsidRPr="00E21CC1" w:rsidRDefault="00A71D04" w:rsidP="00A71D04">
      <w:pPr>
        <w:spacing w:after="0"/>
        <w:jc w:val="center"/>
        <w:rPr>
          <w:sz w:val="24"/>
          <w:szCs w:val="24"/>
        </w:rPr>
      </w:pPr>
      <w:r w:rsidRPr="00E21CC1">
        <w:rPr>
          <w:sz w:val="24"/>
          <w:szCs w:val="24"/>
        </w:rPr>
        <w:t>Dr. Michael Wooten, Administrator, Office of Federal Procurement Policy, Office of Management and Budget</w:t>
      </w:r>
    </w:p>
    <w:p w14:paraId="3BE5A8B8" w14:textId="77777777" w:rsidR="00A71D04" w:rsidRPr="00E21CC1" w:rsidRDefault="00A71D04" w:rsidP="00A71D04">
      <w:pPr>
        <w:spacing w:after="0"/>
        <w:jc w:val="center"/>
        <w:rPr>
          <w:sz w:val="24"/>
          <w:szCs w:val="24"/>
        </w:rPr>
      </w:pPr>
    </w:p>
    <w:p w14:paraId="74865E6D" w14:textId="77777777" w:rsidR="00A71D04" w:rsidRPr="00E21CC1" w:rsidRDefault="00A71D04" w:rsidP="00A71D04">
      <w:pPr>
        <w:spacing w:after="0"/>
        <w:jc w:val="center"/>
        <w:rPr>
          <w:sz w:val="24"/>
          <w:szCs w:val="24"/>
        </w:rPr>
      </w:pPr>
      <w:r w:rsidRPr="00E21CC1">
        <w:rPr>
          <w:noProof/>
          <w:sz w:val="24"/>
          <w:szCs w:val="24"/>
        </w:rPr>
        <w:drawing>
          <wp:inline distT="0" distB="0" distL="0" distR="0" wp14:anchorId="1A3B86FC" wp14:editId="78B6253F">
            <wp:extent cx="2181225" cy="1199591"/>
            <wp:effectExtent l="0" t="0" r="0" b="0"/>
            <wp:docPr id="10" name="Picture 10" descr="Dr. David Hall, President, University of the Virgin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 6 - DrDavidHall-IndustryDay.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195663" cy="1207532"/>
                    </a:xfrm>
                    <a:prstGeom prst="rect">
                      <a:avLst/>
                    </a:prstGeom>
                  </pic:spPr>
                </pic:pic>
              </a:graphicData>
            </a:graphic>
          </wp:inline>
        </w:drawing>
      </w:r>
    </w:p>
    <w:p w14:paraId="61E175A7" w14:textId="77777777" w:rsidR="00A71D04" w:rsidRPr="00E21CC1" w:rsidRDefault="00A71D04" w:rsidP="00A71D04">
      <w:pPr>
        <w:spacing w:after="0"/>
        <w:jc w:val="center"/>
        <w:rPr>
          <w:sz w:val="24"/>
          <w:szCs w:val="24"/>
        </w:rPr>
      </w:pPr>
      <w:r w:rsidRPr="00E21CC1">
        <w:rPr>
          <w:sz w:val="24"/>
          <w:szCs w:val="24"/>
        </w:rPr>
        <w:t>Dr. David Hall, President, University of the Virgin Islands</w:t>
      </w:r>
    </w:p>
    <w:p w14:paraId="644D5914" w14:textId="0FFB8043" w:rsidR="00E50F52" w:rsidRDefault="00E50F52" w:rsidP="00A5769E">
      <w:pPr>
        <w:rPr>
          <w:sz w:val="24"/>
          <w:szCs w:val="24"/>
        </w:rPr>
      </w:pPr>
    </w:p>
    <w:p w14:paraId="3E744CBA" w14:textId="77777777" w:rsidR="00E21CC1" w:rsidRPr="00A5769E" w:rsidRDefault="00E21CC1" w:rsidP="00A5769E">
      <w:pPr>
        <w:rPr>
          <w:sz w:val="24"/>
          <w:szCs w:val="24"/>
        </w:rPr>
      </w:pPr>
    </w:p>
    <w:p w14:paraId="63523828" w14:textId="26B286D9" w:rsidR="00E168A5" w:rsidRPr="00A16A79" w:rsidRDefault="00A71D04" w:rsidP="00A71D04">
      <w:pPr>
        <w:pStyle w:val="Heading1"/>
      </w:pPr>
      <w:r>
        <w:t>Receiving: Quick Reference Guide to Inspection and Acceptance</w:t>
      </w:r>
      <w:r w:rsidR="00E168A5" w:rsidRPr="00A16A79">
        <w:t xml:space="preserve"> </w:t>
      </w:r>
    </w:p>
    <w:p w14:paraId="6B1DFB25" w14:textId="13649A12" w:rsidR="00A71D04" w:rsidRPr="00E21CC1" w:rsidRDefault="00A71D04" w:rsidP="00A71D04">
      <w:pPr>
        <w:rPr>
          <w:sz w:val="24"/>
          <w:szCs w:val="24"/>
        </w:rPr>
      </w:pPr>
      <w:r w:rsidRPr="00E21CC1">
        <w:rPr>
          <w:sz w:val="24"/>
          <w:szCs w:val="24"/>
        </w:rPr>
        <w:lastRenderedPageBreak/>
        <w:t xml:space="preserve">The receiving process (receipt, inspection and acceptance) is one of the most important responsibilities of a Contracting Officer.  </w:t>
      </w:r>
      <w:hyperlink r:id="rId40" w:history="1">
        <w:r w:rsidRPr="00E21CC1">
          <w:rPr>
            <w:rStyle w:val="Hyperlink"/>
            <w:sz w:val="24"/>
            <w:szCs w:val="24"/>
          </w:rPr>
          <w:t>The Virtual Acquisition Office (VAO)</w:t>
        </w:r>
      </w:hyperlink>
      <w:r w:rsidRPr="00E21CC1">
        <w:rPr>
          <w:sz w:val="24"/>
          <w:szCs w:val="24"/>
        </w:rPr>
        <w:t xml:space="preserve"> just released a quick reference titled, “</w:t>
      </w:r>
      <w:hyperlink r:id="rId41" w:history="1">
        <w:r w:rsidRPr="00E21CC1">
          <w:rPr>
            <w:rStyle w:val="Hyperlink"/>
            <w:sz w:val="24"/>
            <w:szCs w:val="24"/>
          </w:rPr>
          <w:t>A COR’s Guide to Inspection and Acceptance</w:t>
        </w:r>
      </w:hyperlink>
      <w:r w:rsidRPr="00E21CC1">
        <w:rPr>
          <w:sz w:val="24"/>
          <w:szCs w:val="24"/>
        </w:rPr>
        <w:t>.”  Some definitions highlighted in this guide are the following:</w:t>
      </w:r>
    </w:p>
    <w:p w14:paraId="7838A343" w14:textId="54DB0700" w:rsidR="00A71D04" w:rsidRPr="00E21CC1" w:rsidRDefault="00A71D04" w:rsidP="00A71D04">
      <w:pPr>
        <w:pStyle w:val="ListParagraph"/>
        <w:numPr>
          <w:ilvl w:val="0"/>
          <w:numId w:val="11"/>
        </w:numPr>
        <w:spacing w:after="160" w:line="259" w:lineRule="auto"/>
        <w:rPr>
          <w:sz w:val="24"/>
          <w:szCs w:val="24"/>
        </w:rPr>
      </w:pPr>
      <w:r w:rsidRPr="00E21CC1">
        <w:rPr>
          <w:sz w:val="24"/>
          <w:szCs w:val="24"/>
        </w:rPr>
        <w:t>Inspection- determines the acceptability (or non</w:t>
      </w:r>
      <w:r w:rsidR="00A8321E" w:rsidRPr="00E21CC1">
        <w:rPr>
          <w:sz w:val="24"/>
          <w:szCs w:val="24"/>
        </w:rPr>
        <w:t>-</w:t>
      </w:r>
      <w:r w:rsidRPr="00E21CC1">
        <w:rPr>
          <w:sz w:val="24"/>
          <w:szCs w:val="24"/>
        </w:rPr>
        <w:t>acceptability) of the services or supplies furnished by the contractor</w:t>
      </w:r>
    </w:p>
    <w:p w14:paraId="2FDC460A" w14:textId="77777777" w:rsidR="00A71D04" w:rsidRPr="00E21CC1" w:rsidRDefault="00A71D04" w:rsidP="00A71D04">
      <w:pPr>
        <w:pStyle w:val="ListParagraph"/>
        <w:numPr>
          <w:ilvl w:val="0"/>
          <w:numId w:val="11"/>
        </w:numPr>
        <w:spacing w:after="160" w:line="259" w:lineRule="auto"/>
        <w:rPr>
          <w:sz w:val="24"/>
          <w:szCs w:val="24"/>
        </w:rPr>
      </w:pPr>
      <w:r w:rsidRPr="00E21CC1">
        <w:rPr>
          <w:sz w:val="24"/>
          <w:szCs w:val="24"/>
        </w:rPr>
        <w:t>Acceptance- the Government’s acknowledgement that it has taken ownership of a particular contract out or product</w:t>
      </w:r>
    </w:p>
    <w:p w14:paraId="3077BB7C" w14:textId="77777777" w:rsidR="00A71D04" w:rsidRPr="00E21CC1" w:rsidRDefault="00A71D04" w:rsidP="00A71D04">
      <w:pPr>
        <w:pStyle w:val="ListParagraph"/>
        <w:numPr>
          <w:ilvl w:val="0"/>
          <w:numId w:val="11"/>
        </w:numPr>
        <w:spacing w:after="160" w:line="259" w:lineRule="auto"/>
        <w:rPr>
          <w:sz w:val="24"/>
          <w:szCs w:val="24"/>
        </w:rPr>
      </w:pPr>
      <w:r w:rsidRPr="00E21CC1">
        <w:rPr>
          <w:sz w:val="24"/>
          <w:szCs w:val="24"/>
        </w:rPr>
        <w:t>Unconditional Acceptance- supplies/services comply fully with the contract</w:t>
      </w:r>
    </w:p>
    <w:p w14:paraId="7C605351" w14:textId="77777777" w:rsidR="00A71D04" w:rsidRPr="00E21CC1" w:rsidRDefault="00A71D04" w:rsidP="00A71D04">
      <w:pPr>
        <w:pStyle w:val="ListParagraph"/>
        <w:numPr>
          <w:ilvl w:val="0"/>
          <w:numId w:val="11"/>
        </w:numPr>
        <w:spacing w:after="160" w:line="259" w:lineRule="auto"/>
        <w:rPr>
          <w:sz w:val="24"/>
          <w:szCs w:val="24"/>
        </w:rPr>
      </w:pPr>
      <w:r w:rsidRPr="00E21CC1">
        <w:rPr>
          <w:sz w:val="24"/>
          <w:szCs w:val="24"/>
        </w:rPr>
        <w:t>Conditional Acceptance- Government accepts supplies/services that do not conform to quality requirements or are otherwise incomplete, that the contractor is required to correct or otherwise complete by a specified date</w:t>
      </w:r>
    </w:p>
    <w:p w14:paraId="16695160" w14:textId="77777777" w:rsidR="00A71D04" w:rsidRPr="00E21CC1" w:rsidRDefault="00A71D04" w:rsidP="00A71D04">
      <w:pPr>
        <w:rPr>
          <w:sz w:val="24"/>
          <w:szCs w:val="24"/>
        </w:rPr>
      </w:pPr>
      <w:r w:rsidRPr="00E21CC1">
        <w:rPr>
          <w:sz w:val="24"/>
          <w:szCs w:val="24"/>
        </w:rPr>
        <w:t>In addition, the guide provides a flow chart of the Inspection and Acceptance Process</w:t>
      </w:r>
    </w:p>
    <w:p w14:paraId="61638898" w14:textId="77777777" w:rsidR="00A71D04" w:rsidRPr="00E21CC1" w:rsidRDefault="00A71D04" w:rsidP="00A71D04">
      <w:pPr>
        <w:jc w:val="center"/>
        <w:rPr>
          <w:sz w:val="24"/>
          <w:szCs w:val="24"/>
        </w:rPr>
      </w:pPr>
      <w:r w:rsidRPr="00E21CC1">
        <w:rPr>
          <w:noProof/>
          <w:sz w:val="24"/>
          <w:szCs w:val="24"/>
        </w:rPr>
        <w:drawing>
          <wp:inline distT="0" distB="0" distL="0" distR="0" wp14:anchorId="2E5714E3" wp14:editId="5DC90A8D">
            <wp:extent cx="5943600" cy="2691130"/>
            <wp:effectExtent l="0" t="0" r="0" b="0"/>
            <wp:docPr id="9" name="Picture 9" descr="Photo of flowchart of Inspection and Acceptanc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2691130"/>
                    </a:xfrm>
                    <a:prstGeom prst="rect">
                      <a:avLst/>
                    </a:prstGeom>
                  </pic:spPr>
                </pic:pic>
              </a:graphicData>
            </a:graphic>
          </wp:inline>
        </w:drawing>
      </w:r>
    </w:p>
    <w:p w14:paraId="76556170" w14:textId="427C1C51" w:rsidR="00D733A4" w:rsidRPr="00E21CC1" w:rsidRDefault="00A71D04" w:rsidP="00A71D04">
      <w:pPr>
        <w:spacing w:after="0" w:line="240" w:lineRule="auto"/>
        <w:rPr>
          <w:sz w:val="24"/>
          <w:szCs w:val="24"/>
        </w:rPr>
      </w:pPr>
      <w:r w:rsidRPr="00E21CC1">
        <w:rPr>
          <w:sz w:val="24"/>
          <w:szCs w:val="24"/>
        </w:rPr>
        <w:t xml:space="preserve">For additional information on the Receiving Process, please reference </w:t>
      </w:r>
      <w:hyperlink r:id="rId43" w:history="1">
        <w:r w:rsidRPr="00E21CC1">
          <w:rPr>
            <w:rStyle w:val="Hyperlink"/>
            <w:sz w:val="24"/>
            <w:szCs w:val="24"/>
          </w:rPr>
          <w:t>A COR’s Guide to Inspection and Acceptance</w:t>
        </w:r>
      </w:hyperlink>
      <w:r w:rsidRPr="00E21CC1">
        <w:rPr>
          <w:sz w:val="24"/>
          <w:szCs w:val="24"/>
        </w:rPr>
        <w:t xml:space="preserve"> or the </w:t>
      </w:r>
      <w:hyperlink r:id="rId44" w:history="1">
        <w:r w:rsidRPr="00E21CC1">
          <w:rPr>
            <w:rStyle w:val="Hyperlink"/>
            <w:sz w:val="24"/>
            <w:szCs w:val="24"/>
          </w:rPr>
          <w:t>ASRB Effective Receiving Training Presentation</w:t>
        </w:r>
      </w:hyperlink>
      <w:r w:rsidRPr="00E21CC1">
        <w:rPr>
          <w:sz w:val="24"/>
          <w:szCs w:val="24"/>
        </w:rPr>
        <w:t xml:space="preserve"> found on the </w:t>
      </w:r>
      <w:hyperlink r:id="rId45" w:history="1">
        <w:r w:rsidRPr="00E21CC1">
          <w:rPr>
            <w:rStyle w:val="Hyperlink"/>
            <w:sz w:val="24"/>
            <w:szCs w:val="24"/>
          </w:rPr>
          <w:t>ASRB SharePoint Site</w:t>
        </w:r>
      </w:hyperlink>
    </w:p>
    <w:p w14:paraId="3FF9611D" w14:textId="350E3C5F" w:rsidR="002F2920" w:rsidRDefault="002F2920" w:rsidP="00556AD2">
      <w:pPr>
        <w:spacing w:line="240" w:lineRule="auto"/>
        <w:rPr>
          <w:sz w:val="24"/>
          <w:szCs w:val="24"/>
        </w:rPr>
      </w:pPr>
    </w:p>
    <w:p w14:paraId="7E2ED6CF" w14:textId="65F3BC48" w:rsidR="00E21CC1" w:rsidRDefault="00E21CC1" w:rsidP="00556AD2">
      <w:pPr>
        <w:spacing w:line="240" w:lineRule="auto"/>
        <w:rPr>
          <w:sz w:val="24"/>
          <w:szCs w:val="24"/>
        </w:rPr>
      </w:pPr>
    </w:p>
    <w:p w14:paraId="3A33B822" w14:textId="14AD71A1" w:rsidR="00E21CC1" w:rsidRDefault="00E21CC1" w:rsidP="00E21CC1">
      <w:pPr>
        <w:pStyle w:val="Heading1"/>
      </w:pPr>
      <w:r>
        <w:t>Is Setting Up an IDIQ Right for Your Agency?</w:t>
      </w:r>
      <w:r w:rsidRPr="00A16A79">
        <w:t xml:space="preserve"> </w:t>
      </w:r>
    </w:p>
    <w:p w14:paraId="0AB804C8" w14:textId="77777777" w:rsidR="00E21CC1" w:rsidRPr="00E21CC1" w:rsidRDefault="00E21CC1" w:rsidP="00E21CC1">
      <w:pPr>
        <w:rPr>
          <w:sz w:val="24"/>
          <w:szCs w:val="24"/>
        </w:rPr>
      </w:pPr>
      <w:r w:rsidRPr="00E21CC1">
        <w:rPr>
          <w:sz w:val="24"/>
          <w:szCs w:val="24"/>
        </w:rPr>
        <w:t>In U.S. Federal government contracting, IDIQ is an abbreviation of the term indefinite delivery/indefinite quantity. This is a type of contract that provides for an indefinite quantity of supplies or services during a fixed period. IDIQs are also sometimes called "Task" or "Delivery Order” contracts.</w:t>
      </w:r>
    </w:p>
    <w:p w14:paraId="509C10B2" w14:textId="77777777" w:rsidR="00E21CC1" w:rsidRPr="00E21CC1" w:rsidRDefault="00E21CC1" w:rsidP="00E21CC1">
      <w:pPr>
        <w:rPr>
          <w:sz w:val="24"/>
          <w:szCs w:val="24"/>
        </w:rPr>
      </w:pPr>
      <w:r w:rsidRPr="00E21CC1">
        <w:rPr>
          <w:sz w:val="24"/>
          <w:szCs w:val="24"/>
        </w:rPr>
        <w:t xml:space="preserve">There are a few instances when establishing a unique agency IDIQ contract may be an appropriate business decision, especially in cases when recurring needs are anticipated. However, in most cases, an existing vehicle can fulfill an agencies’ needs. Before establishing a new agency-specific single or multiple award IDIQ vehicle, agencies should research existing vehicles and take into consideration the following:   </w:t>
      </w:r>
    </w:p>
    <w:p w14:paraId="0E3964AB" w14:textId="77777777" w:rsidR="00E21CC1" w:rsidRPr="00E21CC1" w:rsidRDefault="00E21CC1" w:rsidP="00E21CC1">
      <w:pPr>
        <w:rPr>
          <w:b/>
          <w:bCs/>
          <w:i/>
          <w:iCs/>
          <w:sz w:val="24"/>
          <w:szCs w:val="24"/>
        </w:rPr>
      </w:pPr>
      <w:r w:rsidRPr="00E21CC1">
        <w:rPr>
          <w:b/>
          <w:bCs/>
          <w:i/>
          <w:iCs/>
          <w:sz w:val="24"/>
          <w:szCs w:val="24"/>
        </w:rPr>
        <w:t xml:space="preserve">IDIQ Contracts Require a Time Investment </w:t>
      </w:r>
    </w:p>
    <w:p w14:paraId="4AD7AC18" w14:textId="77777777" w:rsidR="00E21CC1" w:rsidRPr="00E21CC1" w:rsidRDefault="00E21CC1" w:rsidP="00E21CC1">
      <w:pPr>
        <w:rPr>
          <w:sz w:val="24"/>
          <w:szCs w:val="24"/>
        </w:rPr>
      </w:pPr>
      <w:r w:rsidRPr="00E21CC1">
        <w:rPr>
          <w:sz w:val="24"/>
          <w:szCs w:val="24"/>
        </w:rPr>
        <w:t xml:space="preserve">Setting up an individual IDIQ contract can be both labor and time intensive. Using a GWAC gives agencies the flexibility of having their own contract without the hassle of setting it up.  </w:t>
      </w:r>
    </w:p>
    <w:p w14:paraId="4EF1E27E" w14:textId="77777777" w:rsidR="00E21CC1" w:rsidRPr="00E21CC1" w:rsidRDefault="00E21CC1" w:rsidP="00E21CC1">
      <w:pPr>
        <w:rPr>
          <w:b/>
          <w:bCs/>
          <w:i/>
          <w:iCs/>
          <w:sz w:val="24"/>
          <w:szCs w:val="24"/>
        </w:rPr>
      </w:pPr>
      <w:r w:rsidRPr="00E21CC1">
        <w:rPr>
          <w:b/>
          <w:bCs/>
          <w:i/>
          <w:iCs/>
          <w:sz w:val="24"/>
          <w:szCs w:val="24"/>
        </w:rPr>
        <w:lastRenderedPageBreak/>
        <w:t>Leveraging an existing vehicle does not mean you lose ownership</w:t>
      </w:r>
    </w:p>
    <w:p w14:paraId="308AEA72" w14:textId="77777777" w:rsidR="00E21CC1" w:rsidRPr="00E21CC1" w:rsidRDefault="00E21CC1" w:rsidP="00E21CC1">
      <w:pPr>
        <w:rPr>
          <w:sz w:val="24"/>
          <w:szCs w:val="24"/>
        </w:rPr>
      </w:pPr>
      <w:r w:rsidRPr="00E21CC1">
        <w:rPr>
          <w:sz w:val="24"/>
          <w:szCs w:val="24"/>
        </w:rPr>
        <w:t xml:space="preserve">Many agencies set up IDIQs because they are concerned about losing ownership.  With NITAAC, that is not the case.  Agencies have control of their award from start to finish.  Agencies write their own requirements, determine their own timeframe and, ultimately, select their own awardees, from our pool of our pre-qualified contract holders. NITAAC simply leverages our contracting expertise to help facilitate the process on the federal government’s behalf.  </w:t>
      </w:r>
    </w:p>
    <w:p w14:paraId="5C50D5C1" w14:textId="77777777" w:rsidR="00E21CC1" w:rsidRPr="00E21CC1" w:rsidRDefault="00E21CC1" w:rsidP="00E21CC1">
      <w:pPr>
        <w:rPr>
          <w:b/>
          <w:bCs/>
          <w:i/>
          <w:iCs/>
          <w:sz w:val="24"/>
          <w:szCs w:val="24"/>
        </w:rPr>
      </w:pPr>
      <w:r w:rsidRPr="00E21CC1">
        <w:rPr>
          <w:b/>
          <w:bCs/>
          <w:i/>
          <w:iCs/>
          <w:sz w:val="24"/>
          <w:szCs w:val="24"/>
        </w:rPr>
        <w:t xml:space="preserve">Realize Cost Savings </w:t>
      </w:r>
    </w:p>
    <w:p w14:paraId="24252BC0" w14:textId="77777777" w:rsidR="00E21CC1" w:rsidRPr="00E21CC1" w:rsidRDefault="00E21CC1" w:rsidP="00E21CC1">
      <w:pPr>
        <w:rPr>
          <w:sz w:val="24"/>
          <w:szCs w:val="24"/>
        </w:rPr>
      </w:pPr>
      <w:r w:rsidRPr="00E21CC1">
        <w:rPr>
          <w:sz w:val="24"/>
          <w:szCs w:val="24"/>
        </w:rPr>
        <w:t>When an agency uses NITAAC, they benefit from improved pricing because our rates are pre-negotiated at the master contract level, which means they are already the lowest available rates. And, because our contracts are pre-competed, additional competition could further drive down costs at the task/delivery order level.  Put simply, NITAAC allows for economies of scale in order to reduce per unit costs, which may not be possible on an individual agency contract.</w:t>
      </w:r>
    </w:p>
    <w:p w14:paraId="410C2809" w14:textId="77777777" w:rsidR="00E21CC1" w:rsidRPr="00E21CC1" w:rsidRDefault="00E21CC1" w:rsidP="00E21CC1">
      <w:pPr>
        <w:rPr>
          <w:b/>
          <w:bCs/>
          <w:i/>
          <w:iCs/>
          <w:sz w:val="24"/>
          <w:szCs w:val="24"/>
        </w:rPr>
      </w:pPr>
      <w:r w:rsidRPr="00E21CC1">
        <w:rPr>
          <w:b/>
          <w:bCs/>
          <w:i/>
          <w:iCs/>
          <w:sz w:val="24"/>
          <w:szCs w:val="24"/>
        </w:rPr>
        <w:t xml:space="preserve">Reduce timeframes and no protests under $10 million </w:t>
      </w:r>
    </w:p>
    <w:p w14:paraId="0A68BF75" w14:textId="77777777" w:rsidR="00E21CC1" w:rsidRPr="00E21CC1" w:rsidRDefault="00E21CC1" w:rsidP="00E21CC1">
      <w:pPr>
        <w:rPr>
          <w:sz w:val="24"/>
          <w:szCs w:val="24"/>
        </w:rPr>
      </w:pPr>
      <w:r w:rsidRPr="00E21CC1">
        <w:rPr>
          <w:sz w:val="24"/>
          <w:szCs w:val="24"/>
        </w:rPr>
        <w:t>And since time is money, agencies can reduce their timeframes by using our GWACs.  On average, task orders can be awarded in 45 days or less, and delivery orders in 1-3 days.  And, there are no protests under $10 million ($25 million for the DoD) if the scope, dollar value and period of performance are within the bounds of the GWAC.</w:t>
      </w:r>
    </w:p>
    <w:p w14:paraId="6F85AB57" w14:textId="77777777" w:rsidR="00E21CC1" w:rsidRPr="00E21CC1" w:rsidRDefault="00E21CC1" w:rsidP="00E21CC1">
      <w:pPr>
        <w:rPr>
          <w:sz w:val="24"/>
          <w:szCs w:val="24"/>
        </w:rPr>
      </w:pPr>
      <w:r w:rsidRPr="00E21CC1">
        <w:rPr>
          <w:sz w:val="24"/>
          <w:szCs w:val="24"/>
        </w:rPr>
        <w:t>Furthermore, agencies can also use GWACs to meet their small business goals under an exception to fair opportunity. And, NITAAC GWACs all carry the Best in Class designation.</w:t>
      </w:r>
    </w:p>
    <w:p w14:paraId="760B1F84" w14:textId="77777777" w:rsidR="00E21CC1" w:rsidRPr="00E21CC1" w:rsidRDefault="00E21CC1" w:rsidP="00E21CC1">
      <w:pPr>
        <w:rPr>
          <w:b/>
          <w:bCs/>
          <w:i/>
          <w:iCs/>
          <w:sz w:val="24"/>
          <w:szCs w:val="24"/>
        </w:rPr>
      </w:pPr>
      <w:r w:rsidRPr="00E21CC1">
        <w:rPr>
          <w:b/>
          <w:bCs/>
          <w:i/>
          <w:iCs/>
          <w:sz w:val="24"/>
          <w:szCs w:val="24"/>
        </w:rPr>
        <w:t>IDIQs are a powerful tool in the contracting officers’ toolbox</w:t>
      </w:r>
    </w:p>
    <w:p w14:paraId="23C4EEFC" w14:textId="77777777" w:rsidR="00E21CC1" w:rsidRPr="00E21CC1" w:rsidRDefault="00E21CC1" w:rsidP="00E21CC1">
      <w:pPr>
        <w:rPr>
          <w:sz w:val="24"/>
          <w:szCs w:val="24"/>
        </w:rPr>
      </w:pPr>
      <w:r w:rsidRPr="00E21CC1">
        <w:rPr>
          <w:sz w:val="24"/>
          <w:szCs w:val="24"/>
        </w:rPr>
        <w:t>IDIQs do have a role in federal procurement but for agencies looking to have a more streamlined procurement, or those that don’t have the time to invest in setting up their own IDIQ, NITAAC GWACs are an ideal option.</w:t>
      </w:r>
    </w:p>
    <w:p w14:paraId="5CECFD23" w14:textId="77777777" w:rsidR="00E21CC1" w:rsidRPr="00E21CC1" w:rsidRDefault="00E21CC1" w:rsidP="00E21CC1">
      <w:pPr>
        <w:rPr>
          <w:sz w:val="24"/>
          <w:szCs w:val="24"/>
        </w:rPr>
      </w:pPr>
    </w:p>
    <w:p w14:paraId="1BBF7FD1" w14:textId="1FF91790" w:rsidR="00E21CC1" w:rsidRDefault="00E21CC1" w:rsidP="00E21CC1">
      <w:pPr>
        <w:pStyle w:val="Heading1"/>
        <w:rPr>
          <w:rFonts w:eastAsia="Calibri"/>
        </w:rPr>
      </w:pPr>
      <w:r>
        <w:rPr>
          <w:rFonts w:eastAsia="Calibri"/>
        </w:rPr>
        <w:t>Free Acquisition Training from NITAAC</w:t>
      </w:r>
    </w:p>
    <w:p w14:paraId="36F06E78"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 xml:space="preserve">NITAAC would like to offer your agency a free training session to highlight the features and benefits of our Best in Class (BIC) Government-Wide Acquisition Contracts (GWACs) for Information Technology (IT).  The session will include a program overview and a live demonstration of our ordering system, </w:t>
      </w:r>
      <w:hyperlink r:id="rId46" w:tooltip="NITAAC's electric-Government Ordering System login page" w:history="1">
        <w:r w:rsidRPr="00E21CC1">
          <w:rPr>
            <w:rFonts w:eastAsia="Calibri" w:cstheme="minorHAnsi"/>
            <w:color w:val="0563C1"/>
            <w:sz w:val="24"/>
            <w:szCs w:val="24"/>
            <w:u w:val="single"/>
          </w:rPr>
          <w:t>e-GOS</w:t>
        </w:r>
      </w:hyperlink>
      <w:r w:rsidRPr="00E21CC1">
        <w:rPr>
          <w:rFonts w:eastAsia="Calibri" w:cstheme="minorHAnsi"/>
          <w:sz w:val="24"/>
          <w:szCs w:val="24"/>
        </w:rPr>
        <w:t>.</w:t>
      </w:r>
    </w:p>
    <w:p w14:paraId="40CAC54A" w14:textId="77777777" w:rsidR="00E21CC1" w:rsidRPr="00E21CC1" w:rsidRDefault="00E21CC1" w:rsidP="00E21CC1">
      <w:pPr>
        <w:spacing w:after="0"/>
        <w:rPr>
          <w:rFonts w:eastAsia="Calibri" w:cstheme="minorHAnsi"/>
          <w:sz w:val="24"/>
          <w:szCs w:val="24"/>
        </w:rPr>
      </w:pPr>
    </w:p>
    <w:p w14:paraId="3DFF7D9A" w14:textId="77777777" w:rsidR="00E21CC1" w:rsidRPr="00E21CC1" w:rsidRDefault="00166DB5" w:rsidP="00E21CC1">
      <w:pPr>
        <w:spacing w:after="0"/>
        <w:rPr>
          <w:rFonts w:eastAsia="Calibri" w:cstheme="minorHAnsi"/>
          <w:sz w:val="24"/>
          <w:szCs w:val="24"/>
        </w:rPr>
      </w:pPr>
      <w:hyperlink r:id="rId47" w:tooltip="NITAAC website, About page" w:history="1">
        <w:r w:rsidR="00E21CC1" w:rsidRPr="00E21CC1">
          <w:rPr>
            <w:rFonts w:eastAsia="Calibri" w:cstheme="minorHAnsi"/>
            <w:color w:val="0563C1"/>
            <w:sz w:val="24"/>
            <w:szCs w:val="24"/>
            <w:u w:val="single"/>
          </w:rPr>
          <w:t>NITAAC</w:t>
        </w:r>
      </w:hyperlink>
      <w:r w:rsidR="00E21CC1" w:rsidRPr="00E21CC1">
        <w:rPr>
          <w:rFonts w:eastAsia="Calibri" w:cstheme="minorHAnsi"/>
          <w:sz w:val="24"/>
          <w:szCs w:val="24"/>
        </w:rPr>
        <w:t xml:space="preserve"> gives you a streamlined way to obtain </w:t>
      </w:r>
      <w:r w:rsidR="00E21CC1" w:rsidRPr="00E21CC1">
        <w:rPr>
          <w:rFonts w:eastAsia="Calibri" w:cstheme="minorHAnsi"/>
          <w:b/>
          <w:bCs/>
          <w:i/>
          <w:iCs/>
          <w:sz w:val="24"/>
          <w:szCs w:val="24"/>
        </w:rPr>
        <w:t>Everything IT</w:t>
      </w:r>
      <w:r w:rsidR="00E21CC1" w:rsidRPr="00E21CC1">
        <w:rPr>
          <w:rFonts w:eastAsia="Calibri" w:cstheme="minorHAnsi"/>
          <w:i/>
          <w:iCs/>
          <w:sz w:val="24"/>
          <w:szCs w:val="24"/>
        </w:rPr>
        <w:t xml:space="preserve"> </w:t>
      </w:r>
      <w:r w:rsidR="00E21CC1" w:rsidRPr="00E21CC1">
        <w:rPr>
          <w:rFonts w:eastAsia="Calibri" w:cstheme="minorHAnsi"/>
          <w:sz w:val="24"/>
          <w:szCs w:val="24"/>
        </w:rPr>
        <w:t>with our three Best in Class GWACs:</w:t>
      </w:r>
    </w:p>
    <w:p w14:paraId="0D824EFF" w14:textId="77777777" w:rsidR="00E21CC1" w:rsidRPr="00E21CC1" w:rsidRDefault="00E21CC1" w:rsidP="00E21CC1">
      <w:pPr>
        <w:numPr>
          <w:ilvl w:val="0"/>
          <w:numId w:val="12"/>
        </w:numPr>
        <w:spacing w:after="0" w:line="240" w:lineRule="auto"/>
        <w:rPr>
          <w:rFonts w:eastAsia="Times New Roman" w:cstheme="minorHAnsi"/>
          <w:sz w:val="24"/>
          <w:szCs w:val="24"/>
        </w:rPr>
      </w:pPr>
      <w:r w:rsidRPr="00E21CC1">
        <w:rPr>
          <w:rFonts w:eastAsia="Times New Roman" w:cstheme="minorHAnsi"/>
          <w:sz w:val="24"/>
          <w:szCs w:val="24"/>
        </w:rPr>
        <w:t> </w:t>
      </w:r>
      <w:hyperlink r:id="rId48" w:tooltip="CIO-SP3 website page" w:history="1">
        <w:r w:rsidRPr="00E21CC1">
          <w:rPr>
            <w:rFonts w:eastAsia="Times New Roman" w:cstheme="minorHAnsi"/>
            <w:color w:val="0563C1"/>
            <w:sz w:val="24"/>
            <w:szCs w:val="24"/>
            <w:u w:val="single"/>
          </w:rPr>
          <w:t>CIO-SP3</w:t>
        </w:r>
      </w:hyperlink>
      <w:r w:rsidRPr="00E21CC1">
        <w:rPr>
          <w:rFonts w:eastAsia="Times New Roman" w:cstheme="minorHAnsi"/>
          <w:sz w:val="24"/>
          <w:szCs w:val="24"/>
        </w:rPr>
        <w:t xml:space="preserve"> for IT services/solutions</w:t>
      </w:r>
    </w:p>
    <w:p w14:paraId="5B1D3C24" w14:textId="77777777" w:rsidR="00E21CC1" w:rsidRPr="00E21CC1" w:rsidRDefault="00E21CC1" w:rsidP="00E21CC1">
      <w:pPr>
        <w:numPr>
          <w:ilvl w:val="0"/>
          <w:numId w:val="12"/>
        </w:numPr>
        <w:spacing w:after="0" w:line="240" w:lineRule="auto"/>
        <w:rPr>
          <w:rFonts w:eastAsia="Times New Roman" w:cstheme="minorHAnsi"/>
          <w:sz w:val="24"/>
          <w:szCs w:val="24"/>
        </w:rPr>
      </w:pPr>
      <w:r w:rsidRPr="00E21CC1">
        <w:rPr>
          <w:rFonts w:eastAsia="Times New Roman" w:cstheme="minorHAnsi"/>
          <w:sz w:val="24"/>
          <w:szCs w:val="24"/>
        </w:rPr>
        <w:t> </w:t>
      </w:r>
      <w:hyperlink r:id="rId49" w:tooltip="CIO-SP3 Small Business website page" w:history="1">
        <w:r w:rsidRPr="00E21CC1">
          <w:rPr>
            <w:rFonts w:eastAsia="Times New Roman" w:cstheme="minorHAnsi"/>
            <w:color w:val="0563C1"/>
            <w:sz w:val="24"/>
            <w:szCs w:val="24"/>
            <w:u w:val="single"/>
          </w:rPr>
          <w:t>CIO-SP3 Small Business</w:t>
        </w:r>
      </w:hyperlink>
      <w:r w:rsidRPr="00E21CC1">
        <w:rPr>
          <w:rFonts w:eastAsia="Times New Roman" w:cstheme="minorHAnsi"/>
          <w:sz w:val="24"/>
          <w:szCs w:val="24"/>
        </w:rPr>
        <w:t xml:space="preserve"> for set-aside IT services/solutions and </w:t>
      </w:r>
    </w:p>
    <w:p w14:paraId="0B991111" w14:textId="77777777" w:rsidR="00E21CC1" w:rsidRPr="00E21CC1" w:rsidRDefault="00E21CC1" w:rsidP="00E21CC1">
      <w:pPr>
        <w:numPr>
          <w:ilvl w:val="0"/>
          <w:numId w:val="12"/>
        </w:numPr>
        <w:spacing w:after="0" w:line="240" w:lineRule="auto"/>
        <w:rPr>
          <w:rFonts w:eastAsia="Times New Roman" w:cstheme="minorHAnsi"/>
          <w:sz w:val="24"/>
          <w:szCs w:val="24"/>
        </w:rPr>
      </w:pPr>
      <w:r w:rsidRPr="00E21CC1">
        <w:rPr>
          <w:rFonts w:eastAsia="Times New Roman" w:cstheme="minorHAnsi"/>
          <w:sz w:val="24"/>
          <w:szCs w:val="24"/>
        </w:rPr>
        <w:t> </w:t>
      </w:r>
      <w:hyperlink r:id="rId50" w:tooltip="CIO-CS website page" w:history="1">
        <w:r w:rsidRPr="00E21CC1">
          <w:rPr>
            <w:rFonts w:eastAsia="Times New Roman" w:cstheme="minorHAnsi"/>
            <w:color w:val="0563C1"/>
            <w:sz w:val="24"/>
            <w:szCs w:val="24"/>
            <w:u w:val="single"/>
          </w:rPr>
          <w:t>CIO-CS</w:t>
        </w:r>
      </w:hyperlink>
      <w:r w:rsidRPr="00E21CC1">
        <w:rPr>
          <w:rFonts w:eastAsia="Times New Roman" w:cstheme="minorHAnsi"/>
          <w:sz w:val="24"/>
          <w:szCs w:val="24"/>
        </w:rPr>
        <w:t xml:space="preserve"> for</w:t>
      </w:r>
      <w:r w:rsidRPr="00E21CC1">
        <w:rPr>
          <w:rFonts w:eastAsia="Times New Roman" w:cstheme="minorHAnsi"/>
          <w:color w:val="FF0000"/>
          <w:sz w:val="24"/>
          <w:szCs w:val="24"/>
        </w:rPr>
        <w:t xml:space="preserve"> </w:t>
      </w:r>
      <w:r w:rsidRPr="00E21CC1">
        <w:rPr>
          <w:rFonts w:eastAsia="Times New Roman" w:cstheme="minorHAnsi"/>
          <w:sz w:val="24"/>
          <w:szCs w:val="24"/>
        </w:rPr>
        <w:t xml:space="preserve">IT commodities and commodity-enabling solutions </w:t>
      </w:r>
    </w:p>
    <w:p w14:paraId="0A306071" w14:textId="77777777" w:rsidR="00E21CC1" w:rsidRPr="00E21CC1" w:rsidRDefault="00E21CC1" w:rsidP="00E21CC1">
      <w:pPr>
        <w:spacing w:after="0"/>
        <w:rPr>
          <w:rFonts w:eastAsia="Calibri" w:cstheme="minorHAnsi"/>
          <w:sz w:val="24"/>
          <w:szCs w:val="24"/>
        </w:rPr>
      </w:pPr>
    </w:p>
    <w:p w14:paraId="7CF0896B"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 xml:space="preserve">Anyone on your team who is involved in the IT procurement process can benefit from attending a NITAAC training session. If the dates below don’t work for you and your team’s schedule, set up a custom training by filling out a </w:t>
      </w:r>
      <w:hyperlink r:id="rId51" w:history="1">
        <w:r w:rsidRPr="00E21CC1">
          <w:rPr>
            <w:rFonts w:eastAsia="Calibri" w:cstheme="minorHAnsi"/>
            <w:color w:val="0563C1"/>
            <w:sz w:val="24"/>
            <w:szCs w:val="24"/>
            <w:u w:val="single"/>
          </w:rPr>
          <w:t>Virtual Training Request</w:t>
        </w:r>
      </w:hyperlink>
      <w:r w:rsidRPr="00E21CC1">
        <w:rPr>
          <w:rFonts w:eastAsia="Calibri" w:cstheme="minorHAnsi"/>
          <w:sz w:val="24"/>
          <w:szCs w:val="24"/>
        </w:rPr>
        <w:t>.  All attendees earn two Continuous Learning Points (CLPs).</w:t>
      </w:r>
    </w:p>
    <w:p w14:paraId="32D4BAD1" w14:textId="77777777" w:rsidR="00E21CC1" w:rsidRPr="00E21CC1" w:rsidRDefault="00E21CC1" w:rsidP="00E21CC1">
      <w:pPr>
        <w:spacing w:after="0"/>
        <w:rPr>
          <w:rFonts w:eastAsia="Calibri" w:cstheme="minorHAnsi"/>
          <w:sz w:val="24"/>
          <w:szCs w:val="24"/>
        </w:rPr>
      </w:pPr>
    </w:p>
    <w:tbl>
      <w:tblPr>
        <w:tblStyle w:val="GridTable4-Accent1"/>
        <w:tblW w:w="9876" w:type="dxa"/>
        <w:tblLook w:val="04A0" w:firstRow="1" w:lastRow="0" w:firstColumn="1" w:lastColumn="0" w:noHBand="0" w:noVBand="1"/>
      </w:tblPr>
      <w:tblGrid>
        <w:gridCol w:w="2946"/>
        <w:gridCol w:w="3960"/>
        <w:gridCol w:w="2970"/>
      </w:tblGrid>
      <w:tr w:rsidR="00E21CC1" w:rsidRPr="00E21CC1" w14:paraId="31FA9BC9" w14:textId="77777777" w:rsidTr="004C4ED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6" w:type="dxa"/>
            <w:hideMark/>
          </w:tcPr>
          <w:p w14:paraId="260FC1F6" w14:textId="77777777" w:rsidR="00E21CC1" w:rsidRPr="00E21CC1" w:rsidRDefault="00E21CC1" w:rsidP="004C4EDB">
            <w:pPr>
              <w:jc w:val="center"/>
              <w:rPr>
                <w:rFonts w:eastAsia="Calibri" w:cstheme="minorHAnsi"/>
                <w:b w:val="0"/>
                <w:bCs w:val="0"/>
                <w:color w:val="FFFFFF"/>
              </w:rPr>
            </w:pPr>
            <w:r w:rsidRPr="00E21CC1">
              <w:rPr>
                <w:rFonts w:eastAsia="Calibri" w:cstheme="minorHAnsi"/>
                <w:b w:val="0"/>
                <w:bCs w:val="0"/>
                <w:color w:val="FFFFFF"/>
              </w:rPr>
              <w:t>Registration Link</w:t>
            </w:r>
          </w:p>
        </w:tc>
        <w:tc>
          <w:tcPr>
            <w:tcW w:w="3960" w:type="dxa"/>
            <w:hideMark/>
          </w:tcPr>
          <w:p w14:paraId="4590D2A2" w14:textId="77777777" w:rsidR="00E21CC1" w:rsidRPr="00E21CC1" w:rsidRDefault="00E21CC1" w:rsidP="004C4ED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rPr>
            </w:pPr>
            <w:r w:rsidRPr="00E21CC1">
              <w:rPr>
                <w:rFonts w:eastAsia="Calibri" w:cstheme="minorHAnsi"/>
                <w:b w:val="0"/>
                <w:bCs w:val="0"/>
                <w:color w:val="FFFFFF"/>
              </w:rPr>
              <w:t>Date</w:t>
            </w:r>
          </w:p>
        </w:tc>
        <w:tc>
          <w:tcPr>
            <w:tcW w:w="2970" w:type="dxa"/>
            <w:hideMark/>
          </w:tcPr>
          <w:p w14:paraId="5FED69A4" w14:textId="77777777" w:rsidR="00E21CC1" w:rsidRPr="00E21CC1" w:rsidRDefault="00E21CC1" w:rsidP="004C4ED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rPr>
            </w:pPr>
            <w:r w:rsidRPr="00E21CC1">
              <w:rPr>
                <w:rFonts w:eastAsia="Calibri" w:cstheme="minorHAnsi"/>
                <w:b w:val="0"/>
                <w:bCs w:val="0"/>
                <w:color w:val="FFFFFF"/>
              </w:rPr>
              <w:t>Time</w:t>
            </w:r>
          </w:p>
        </w:tc>
      </w:tr>
      <w:tr w:rsidR="00E21CC1" w:rsidRPr="00E21CC1" w14:paraId="063DCDEC" w14:textId="77777777" w:rsidTr="004C4EDB">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946" w:type="dxa"/>
            <w:hideMark/>
          </w:tcPr>
          <w:p w14:paraId="76373460" w14:textId="77777777" w:rsidR="00E21CC1" w:rsidRPr="00E21CC1" w:rsidRDefault="00166DB5" w:rsidP="004C4EDB">
            <w:pPr>
              <w:rPr>
                <w:rFonts w:eastAsia="Calibri" w:cstheme="minorHAnsi"/>
              </w:rPr>
            </w:pPr>
            <w:hyperlink r:id="rId52" w:history="1">
              <w:r w:rsidR="00E21CC1" w:rsidRPr="00E21CC1">
                <w:rPr>
                  <w:rFonts w:eastAsia="Calibri" w:cstheme="minorHAnsi"/>
                  <w:color w:val="0563C1"/>
                  <w:u w:val="single"/>
                </w:rPr>
                <w:t>NITAAC CIO-SP3 &amp; CIO-SP3 Small Business GWAC Training Session</w:t>
              </w:r>
            </w:hyperlink>
          </w:p>
        </w:tc>
        <w:tc>
          <w:tcPr>
            <w:tcW w:w="3960" w:type="dxa"/>
            <w:hideMark/>
          </w:tcPr>
          <w:p w14:paraId="3EE13638" w14:textId="77777777" w:rsidR="00E21CC1" w:rsidRPr="00E21CC1" w:rsidRDefault="00E21CC1" w:rsidP="004C4EDB">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E21CC1">
              <w:rPr>
                <w:rFonts w:eastAsia="Calibri" w:cstheme="minorHAnsi"/>
                <w:color w:val="000000"/>
              </w:rPr>
              <w:t>Wednesday, November 18, 2020</w:t>
            </w:r>
          </w:p>
        </w:tc>
        <w:tc>
          <w:tcPr>
            <w:tcW w:w="2970" w:type="dxa"/>
            <w:hideMark/>
          </w:tcPr>
          <w:p w14:paraId="60E9D92F" w14:textId="77777777" w:rsidR="00E21CC1" w:rsidRPr="00E21CC1" w:rsidRDefault="00E21CC1" w:rsidP="004C4EDB">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E21CC1">
              <w:rPr>
                <w:rFonts w:eastAsia="Calibri" w:cstheme="minorHAnsi"/>
                <w:color w:val="000000"/>
              </w:rPr>
              <w:t>10:00am – 12:00pm EST</w:t>
            </w:r>
          </w:p>
        </w:tc>
      </w:tr>
      <w:tr w:rsidR="00E21CC1" w:rsidRPr="00E21CC1" w14:paraId="1A86DC43" w14:textId="77777777" w:rsidTr="004C4EDB">
        <w:trPr>
          <w:trHeight w:val="502"/>
        </w:trPr>
        <w:tc>
          <w:tcPr>
            <w:cnfStyle w:val="001000000000" w:firstRow="0" w:lastRow="0" w:firstColumn="1" w:lastColumn="0" w:oddVBand="0" w:evenVBand="0" w:oddHBand="0" w:evenHBand="0" w:firstRowFirstColumn="0" w:firstRowLastColumn="0" w:lastRowFirstColumn="0" w:lastRowLastColumn="0"/>
            <w:tcW w:w="2946" w:type="dxa"/>
          </w:tcPr>
          <w:p w14:paraId="0C119527" w14:textId="77777777" w:rsidR="00E21CC1" w:rsidRPr="00E21CC1" w:rsidRDefault="00166DB5" w:rsidP="004C4EDB">
            <w:pPr>
              <w:rPr>
                <w:rFonts w:eastAsia="Calibri" w:cstheme="minorHAnsi"/>
                <w:color w:val="000000"/>
              </w:rPr>
            </w:pPr>
            <w:hyperlink r:id="rId53" w:history="1">
              <w:r w:rsidR="00E21CC1" w:rsidRPr="00E21CC1">
                <w:rPr>
                  <w:rFonts w:eastAsia="Calibri" w:cstheme="minorHAnsi"/>
                  <w:color w:val="0563C1"/>
                  <w:u w:val="single"/>
                </w:rPr>
                <w:t>NITAAC Monthly Training Session</w:t>
              </w:r>
            </w:hyperlink>
          </w:p>
        </w:tc>
        <w:tc>
          <w:tcPr>
            <w:tcW w:w="3960" w:type="dxa"/>
          </w:tcPr>
          <w:p w14:paraId="1993B869" w14:textId="77777777" w:rsidR="00E21CC1" w:rsidRPr="00E21CC1" w:rsidRDefault="00E21CC1" w:rsidP="004C4ED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E21CC1">
              <w:rPr>
                <w:rFonts w:eastAsia="Calibri" w:cstheme="minorHAnsi"/>
                <w:color w:val="000000"/>
              </w:rPr>
              <w:t>Thursday, November 19, 2020</w:t>
            </w:r>
          </w:p>
        </w:tc>
        <w:tc>
          <w:tcPr>
            <w:tcW w:w="2970" w:type="dxa"/>
          </w:tcPr>
          <w:p w14:paraId="5316534F" w14:textId="77777777" w:rsidR="00E21CC1" w:rsidRPr="00E21CC1" w:rsidRDefault="00E21CC1" w:rsidP="004C4ED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E21CC1">
              <w:rPr>
                <w:rFonts w:eastAsia="Calibri" w:cstheme="minorHAnsi"/>
                <w:color w:val="000000"/>
              </w:rPr>
              <w:t>1:00pm – 3:00pm EST</w:t>
            </w:r>
          </w:p>
        </w:tc>
      </w:tr>
      <w:tr w:rsidR="00E21CC1" w:rsidRPr="00E21CC1" w14:paraId="4D714EDE" w14:textId="77777777" w:rsidTr="004C4ED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46" w:type="dxa"/>
          </w:tcPr>
          <w:p w14:paraId="42BCB2A8" w14:textId="77777777" w:rsidR="00E21CC1" w:rsidRPr="00E21CC1" w:rsidRDefault="00166DB5" w:rsidP="004C4EDB">
            <w:pPr>
              <w:rPr>
                <w:rFonts w:eastAsia="Calibri" w:cstheme="minorHAnsi"/>
                <w:color w:val="0563C1"/>
                <w:u w:val="single"/>
              </w:rPr>
            </w:pPr>
            <w:hyperlink r:id="rId54" w:history="1">
              <w:r w:rsidR="00E21CC1" w:rsidRPr="00E21CC1">
                <w:rPr>
                  <w:rFonts w:eastAsia="Calibri" w:cstheme="minorHAnsi"/>
                  <w:color w:val="0563C1"/>
                  <w:u w:val="single"/>
                </w:rPr>
                <w:t>NITAAC CIO-CS GWAC Training Session</w:t>
              </w:r>
            </w:hyperlink>
          </w:p>
          <w:p w14:paraId="5C1EB956" w14:textId="77777777" w:rsidR="00E21CC1" w:rsidRPr="00E21CC1" w:rsidRDefault="00E21CC1" w:rsidP="004C4EDB">
            <w:pPr>
              <w:rPr>
                <w:rFonts w:eastAsia="Calibri" w:cstheme="minorHAnsi"/>
              </w:rPr>
            </w:pPr>
          </w:p>
        </w:tc>
        <w:tc>
          <w:tcPr>
            <w:tcW w:w="3960" w:type="dxa"/>
            <w:hideMark/>
          </w:tcPr>
          <w:p w14:paraId="21B8FE12" w14:textId="77777777" w:rsidR="00E21CC1" w:rsidRPr="00E21CC1" w:rsidRDefault="00E21CC1" w:rsidP="004C4EDB">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E21CC1">
              <w:rPr>
                <w:rFonts w:eastAsia="Calibri" w:cstheme="minorHAnsi"/>
                <w:color w:val="000000"/>
              </w:rPr>
              <w:t>Tuesday, December 15, 2020</w:t>
            </w:r>
          </w:p>
        </w:tc>
        <w:tc>
          <w:tcPr>
            <w:tcW w:w="2970" w:type="dxa"/>
            <w:hideMark/>
          </w:tcPr>
          <w:p w14:paraId="50F7CC9C" w14:textId="77777777" w:rsidR="00E21CC1" w:rsidRPr="00E21CC1" w:rsidRDefault="00E21CC1" w:rsidP="004C4EDB">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E21CC1">
              <w:rPr>
                <w:rFonts w:eastAsia="Calibri" w:cstheme="minorHAnsi"/>
                <w:color w:val="000000"/>
              </w:rPr>
              <w:t>10:00am – 12:00pm EST</w:t>
            </w:r>
          </w:p>
        </w:tc>
      </w:tr>
      <w:tr w:rsidR="00E21CC1" w:rsidRPr="00E21CC1" w14:paraId="2974D529" w14:textId="77777777" w:rsidTr="004C4EDB">
        <w:trPr>
          <w:trHeight w:val="551"/>
        </w:trPr>
        <w:tc>
          <w:tcPr>
            <w:cnfStyle w:val="001000000000" w:firstRow="0" w:lastRow="0" w:firstColumn="1" w:lastColumn="0" w:oddVBand="0" w:evenVBand="0" w:oddHBand="0" w:evenHBand="0" w:firstRowFirstColumn="0" w:firstRowLastColumn="0" w:lastRowFirstColumn="0" w:lastRowLastColumn="0"/>
            <w:tcW w:w="2946" w:type="dxa"/>
          </w:tcPr>
          <w:p w14:paraId="0EEB7E75" w14:textId="77777777" w:rsidR="00E21CC1" w:rsidRPr="00E21CC1" w:rsidRDefault="00166DB5" w:rsidP="004C4EDB">
            <w:pPr>
              <w:rPr>
                <w:rFonts w:eastAsia="Calibri" w:cstheme="minorHAnsi"/>
                <w:color w:val="000000"/>
              </w:rPr>
            </w:pPr>
            <w:hyperlink r:id="rId55" w:history="1">
              <w:r w:rsidR="00E21CC1" w:rsidRPr="00E21CC1">
                <w:rPr>
                  <w:rFonts w:eastAsia="Calibri" w:cstheme="minorHAnsi"/>
                  <w:color w:val="0563C1"/>
                  <w:u w:val="single"/>
                </w:rPr>
                <w:t>NITAAC Monthly Training Session</w:t>
              </w:r>
            </w:hyperlink>
          </w:p>
        </w:tc>
        <w:tc>
          <w:tcPr>
            <w:tcW w:w="3960" w:type="dxa"/>
          </w:tcPr>
          <w:p w14:paraId="7B5EFFE1" w14:textId="77777777" w:rsidR="00E21CC1" w:rsidRPr="00E21CC1" w:rsidRDefault="00E21CC1" w:rsidP="004C4ED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E21CC1">
              <w:rPr>
                <w:rFonts w:eastAsia="Calibri" w:cstheme="minorHAnsi"/>
                <w:color w:val="000000"/>
              </w:rPr>
              <w:t>Thursday, December 17, 2020</w:t>
            </w:r>
          </w:p>
        </w:tc>
        <w:tc>
          <w:tcPr>
            <w:tcW w:w="2970" w:type="dxa"/>
          </w:tcPr>
          <w:p w14:paraId="068B4F7B" w14:textId="77777777" w:rsidR="00E21CC1" w:rsidRPr="00E21CC1" w:rsidRDefault="00E21CC1" w:rsidP="004C4ED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E21CC1">
              <w:rPr>
                <w:rFonts w:eastAsia="Calibri" w:cstheme="minorHAnsi"/>
                <w:color w:val="000000"/>
              </w:rPr>
              <w:t>1:00pm – 3:00pm EST</w:t>
            </w:r>
          </w:p>
        </w:tc>
      </w:tr>
    </w:tbl>
    <w:p w14:paraId="02225792" w14:textId="77777777" w:rsidR="00E21CC1" w:rsidRPr="00E21CC1" w:rsidRDefault="00E21CC1" w:rsidP="00E21CC1">
      <w:pPr>
        <w:spacing w:after="0"/>
        <w:rPr>
          <w:rFonts w:eastAsia="Calibri" w:cstheme="minorHAnsi"/>
          <w:sz w:val="24"/>
          <w:szCs w:val="24"/>
        </w:rPr>
      </w:pPr>
    </w:p>
    <w:p w14:paraId="7A862F10" w14:textId="0EB052DD" w:rsidR="00E21CC1" w:rsidRDefault="00E21CC1" w:rsidP="00E21CC1">
      <w:pPr>
        <w:spacing w:after="0"/>
        <w:rPr>
          <w:rFonts w:eastAsia="Calibri" w:cstheme="minorHAnsi"/>
          <w:sz w:val="24"/>
          <w:szCs w:val="24"/>
        </w:rPr>
      </w:pPr>
      <w:r w:rsidRPr="00E21CC1">
        <w:rPr>
          <w:rFonts w:eastAsia="Calibri" w:cstheme="minorHAnsi"/>
          <w:sz w:val="24"/>
          <w:szCs w:val="24"/>
        </w:rPr>
        <w:t xml:space="preserve">In addition to training, we thought you might be interested in some of our other activities. NITAAC is here to assist you with all your IT needs. We invite you to connect with us for advanced IT planning. Contact us at 1.888.773.6542 or </w:t>
      </w:r>
      <w:hyperlink r:id="rId56" w:history="1">
        <w:r w:rsidRPr="00E21CC1">
          <w:rPr>
            <w:rFonts w:eastAsia="Calibri" w:cstheme="minorHAnsi"/>
            <w:color w:val="0563C1"/>
            <w:sz w:val="24"/>
            <w:szCs w:val="24"/>
            <w:u w:val="single"/>
          </w:rPr>
          <w:t>NITAACsupport@nih.gov</w:t>
        </w:r>
      </w:hyperlink>
      <w:r w:rsidRPr="00E21CC1">
        <w:rPr>
          <w:rFonts w:eastAsia="Calibri" w:cstheme="minorHAnsi"/>
          <w:sz w:val="24"/>
          <w:szCs w:val="24"/>
        </w:rPr>
        <w:t>.</w:t>
      </w:r>
    </w:p>
    <w:p w14:paraId="1D67B337" w14:textId="77777777" w:rsidR="00E21CC1" w:rsidRPr="00E21CC1" w:rsidRDefault="00E21CC1" w:rsidP="00E21CC1">
      <w:pPr>
        <w:spacing w:after="0"/>
        <w:rPr>
          <w:rFonts w:eastAsia="Calibri" w:cstheme="minorHAnsi"/>
          <w:sz w:val="24"/>
          <w:szCs w:val="24"/>
        </w:rPr>
      </w:pPr>
    </w:p>
    <w:p w14:paraId="08C86D68" w14:textId="77777777" w:rsidR="00E21CC1" w:rsidRPr="00E21CC1" w:rsidRDefault="00E21CC1" w:rsidP="00E21CC1">
      <w:pPr>
        <w:pStyle w:val="Heading1"/>
      </w:pPr>
      <w:bookmarkStart w:id="4" w:name="_Hlk55211800"/>
      <w:r w:rsidRPr="00E21CC1">
        <w:t>NITAAC Virtual Industry Days</w:t>
      </w:r>
      <w:bookmarkEnd w:id="4"/>
    </w:p>
    <w:p w14:paraId="0C19EB40"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 xml:space="preserve">If you have an upcoming requirement, let NITAAC help you host a Virtual Industry Day. Our Contract Holders are the industry’s best at delivering innovative IT solutions, and our Best in Class GWACs make the acquisition faster and easier. </w:t>
      </w:r>
    </w:p>
    <w:p w14:paraId="5962C021" w14:textId="77777777" w:rsidR="00E21CC1" w:rsidRPr="00E21CC1" w:rsidRDefault="00E21CC1" w:rsidP="00E21CC1">
      <w:pPr>
        <w:spacing w:after="0"/>
        <w:rPr>
          <w:rFonts w:eastAsia="Calibri" w:cstheme="minorHAnsi"/>
          <w:sz w:val="24"/>
          <w:szCs w:val="24"/>
        </w:rPr>
      </w:pPr>
    </w:p>
    <w:p w14:paraId="3C718F93"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 xml:space="preserve">As host of a Virtual Industry Day, you’re able to put your requirements in front of an audience of Subject Matter Experts (SMEs) and get specific answers to questions you may still be considering. By starting a dialog with </w:t>
      </w:r>
      <w:hyperlink r:id="rId57" w:history="1">
        <w:r w:rsidRPr="00E21CC1">
          <w:rPr>
            <w:rFonts w:eastAsia="Calibri" w:cstheme="minorHAnsi"/>
            <w:color w:val="0563C1"/>
            <w:sz w:val="24"/>
            <w:szCs w:val="24"/>
            <w:u w:val="single"/>
          </w:rPr>
          <w:t>NITAAC Contract Holders</w:t>
        </w:r>
      </w:hyperlink>
      <w:r w:rsidRPr="00E21CC1">
        <w:rPr>
          <w:rFonts w:eastAsia="Calibri" w:cstheme="minorHAnsi"/>
          <w:sz w:val="24"/>
          <w:szCs w:val="24"/>
        </w:rPr>
        <w:t xml:space="preserve">, you may even discover solutions you never would have thought of otherwise. That’s why Industry Days are win-win for hosts and Contract Holders alike. </w:t>
      </w:r>
    </w:p>
    <w:p w14:paraId="6B9DCF38" w14:textId="77777777" w:rsidR="00E21CC1" w:rsidRPr="00E21CC1" w:rsidRDefault="00E21CC1" w:rsidP="00E21CC1">
      <w:pPr>
        <w:spacing w:after="0"/>
        <w:rPr>
          <w:rFonts w:eastAsia="Calibri" w:cstheme="minorHAnsi"/>
          <w:sz w:val="24"/>
          <w:szCs w:val="24"/>
        </w:rPr>
      </w:pPr>
    </w:p>
    <w:p w14:paraId="202388DD"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 xml:space="preserve">If you’d like to put together an event, let NITAAC show you how easy it can be. Call us at 1-888-773-6542, or </w:t>
      </w:r>
      <w:hyperlink r:id="rId58" w:history="1">
        <w:r w:rsidRPr="00E21CC1">
          <w:rPr>
            <w:rFonts w:eastAsia="Calibri" w:cstheme="minorHAnsi"/>
            <w:color w:val="0563C1"/>
            <w:sz w:val="24"/>
            <w:szCs w:val="24"/>
            <w:u w:val="single"/>
          </w:rPr>
          <w:t>send us an email at NITAAC Support today</w:t>
        </w:r>
      </w:hyperlink>
      <w:r w:rsidRPr="00E21CC1">
        <w:rPr>
          <w:rFonts w:eastAsia="Calibri" w:cstheme="minorHAnsi"/>
          <w:sz w:val="24"/>
          <w:szCs w:val="24"/>
        </w:rPr>
        <w:t>.</w:t>
      </w:r>
    </w:p>
    <w:p w14:paraId="0E4640F5" w14:textId="77777777" w:rsidR="00E21CC1" w:rsidRPr="00E21CC1" w:rsidRDefault="00E21CC1" w:rsidP="00E21CC1">
      <w:pPr>
        <w:spacing w:after="0"/>
        <w:rPr>
          <w:rFonts w:eastAsia="Calibri" w:cstheme="minorHAnsi"/>
          <w:sz w:val="24"/>
          <w:szCs w:val="24"/>
        </w:rPr>
      </w:pPr>
    </w:p>
    <w:p w14:paraId="3836B319" w14:textId="77777777" w:rsidR="00E21CC1" w:rsidRPr="00E21CC1" w:rsidRDefault="00E21CC1" w:rsidP="00E21CC1">
      <w:pPr>
        <w:spacing w:after="0"/>
        <w:rPr>
          <w:rFonts w:eastAsia="Calibri" w:cstheme="minorHAnsi"/>
          <w:sz w:val="24"/>
          <w:szCs w:val="24"/>
        </w:rPr>
      </w:pPr>
      <w:r w:rsidRPr="00E21CC1">
        <w:rPr>
          <w:rFonts w:eastAsia="Calibri" w:cstheme="minorHAnsi"/>
          <w:sz w:val="24"/>
          <w:szCs w:val="24"/>
        </w:rPr>
        <w:t>We look forward to working with you!</w:t>
      </w:r>
    </w:p>
    <w:p w14:paraId="7703C7DF" w14:textId="77777777" w:rsidR="00E21CC1" w:rsidRPr="00E21CC1" w:rsidRDefault="00E21CC1" w:rsidP="00E21CC1">
      <w:pPr>
        <w:rPr>
          <w:rFonts w:cstheme="minorHAnsi"/>
          <w:sz w:val="24"/>
          <w:szCs w:val="24"/>
        </w:rPr>
      </w:pPr>
      <w:r w:rsidRPr="00E21CC1">
        <w:rPr>
          <w:rFonts w:cstheme="minorHAnsi"/>
          <w:color w:val="221F20"/>
          <w:sz w:val="24"/>
          <w:szCs w:val="24"/>
        </w:rPr>
        <w:t xml:space="preserve">1.888.773.6542 • </w:t>
      </w:r>
      <w:hyperlink r:id="rId59" w:history="1">
        <w:r w:rsidRPr="00E21CC1">
          <w:rPr>
            <w:rStyle w:val="Hyperlink"/>
            <w:rFonts w:cstheme="minorHAnsi"/>
            <w:sz w:val="24"/>
            <w:szCs w:val="24"/>
          </w:rPr>
          <w:t>NITAACsupport@nih.gov</w:t>
        </w:r>
      </w:hyperlink>
      <w:r w:rsidRPr="00E21CC1">
        <w:rPr>
          <w:rFonts w:cstheme="minorHAnsi"/>
          <w:color w:val="0E60AE"/>
          <w:sz w:val="24"/>
          <w:szCs w:val="24"/>
        </w:rPr>
        <w:t xml:space="preserve"> </w:t>
      </w:r>
      <w:r w:rsidRPr="00E21CC1">
        <w:rPr>
          <w:rFonts w:cstheme="minorHAnsi"/>
          <w:color w:val="221F20"/>
          <w:sz w:val="24"/>
          <w:szCs w:val="24"/>
        </w:rPr>
        <w:t xml:space="preserve">• </w:t>
      </w:r>
      <w:hyperlink r:id="rId60" w:history="1">
        <w:r w:rsidRPr="00E21CC1">
          <w:rPr>
            <w:rStyle w:val="Hyperlink"/>
            <w:rFonts w:cstheme="minorHAnsi"/>
            <w:sz w:val="24"/>
            <w:szCs w:val="24"/>
          </w:rPr>
          <w:t>nitaac.nih.gov</w:t>
        </w:r>
      </w:hyperlink>
    </w:p>
    <w:p w14:paraId="528B0460" w14:textId="77777777" w:rsidR="00E21CC1" w:rsidRPr="00D733A4" w:rsidRDefault="00E21CC1" w:rsidP="00556AD2">
      <w:pPr>
        <w:spacing w:line="240" w:lineRule="auto"/>
        <w:rPr>
          <w:sz w:val="24"/>
          <w:szCs w:val="24"/>
        </w:rPr>
      </w:pPr>
    </w:p>
    <w:p w14:paraId="4BAAD890" w14:textId="123B9A5D" w:rsidR="00285777" w:rsidRDefault="00C1069A" w:rsidP="001453A1">
      <w:pPr>
        <w:pStyle w:val="Heading1"/>
      </w:pPr>
      <w:r w:rsidRPr="00C1069A">
        <w:t>Recap Corner</w:t>
      </w:r>
    </w:p>
    <w:p w14:paraId="44424653" w14:textId="77777777" w:rsidR="00C1069A" w:rsidRPr="00157B2D" w:rsidRDefault="00157B2D" w:rsidP="00556AD2">
      <w:pPr>
        <w:spacing w:line="240" w:lineRule="auto"/>
        <w:rPr>
          <w:rFonts w:ascii="Arial" w:hAnsi="Arial" w:cs="Arial"/>
          <w:sz w:val="24"/>
          <w:szCs w:val="24"/>
        </w:rPr>
      </w:pPr>
      <w:r w:rsidRPr="00157B2D">
        <w:rPr>
          <w:rFonts w:ascii="Arial" w:hAnsi="Arial" w:cs="Arial"/>
          <w:sz w:val="24"/>
          <w:szCs w:val="24"/>
        </w:rPr>
        <w:t>Below is a recap of recent OALM communications to the NIH acquisition workforce</w:t>
      </w:r>
    </w:p>
    <w:tbl>
      <w:tblPr>
        <w:tblStyle w:val="TableGrid"/>
        <w:tblW w:w="0" w:type="auto"/>
        <w:tblLook w:val="04A0" w:firstRow="1" w:lastRow="0" w:firstColumn="1" w:lastColumn="0" w:noHBand="0" w:noVBand="1"/>
      </w:tblPr>
      <w:tblGrid>
        <w:gridCol w:w="1252"/>
        <w:gridCol w:w="3474"/>
        <w:gridCol w:w="1656"/>
        <w:gridCol w:w="4140"/>
      </w:tblGrid>
      <w:tr w:rsidR="004576F3" w:rsidRPr="00961CBE" w14:paraId="58C04E44" w14:textId="77777777" w:rsidTr="004C4EDB">
        <w:trPr>
          <w:trHeight w:val="377"/>
        </w:trPr>
        <w:tc>
          <w:tcPr>
            <w:tcW w:w="1252" w:type="dxa"/>
          </w:tcPr>
          <w:p w14:paraId="602095CF" w14:textId="77777777" w:rsidR="004576F3" w:rsidRPr="00961CBE" w:rsidRDefault="004576F3" w:rsidP="004C4EDB">
            <w:pPr>
              <w:jc w:val="center"/>
              <w:rPr>
                <w:rFonts w:ascii="Arial" w:hAnsi="Arial" w:cs="Arial"/>
                <w:b/>
                <w:bCs/>
                <w:sz w:val="24"/>
                <w:szCs w:val="24"/>
              </w:rPr>
            </w:pPr>
            <w:r w:rsidRPr="00961CBE">
              <w:rPr>
                <w:rFonts w:ascii="Arial" w:hAnsi="Arial" w:cs="Arial"/>
                <w:b/>
                <w:bCs/>
                <w:sz w:val="24"/>
                <w:szCs w:val="24"/>
              </w:rPr>
              <w:t>ID</w:t>
            </w:r>
          </w:p>
        </w:tc>
        <w:tc>
          <w:tcPr>
            <w:tcW w:w="3474" w:type="dxa"/>
          </w:tcPr>
          <w:p w14:paraId="5D200CC6" w14:textId="77777777" w:rsidR="004576F3" w:rsidRPr="00961CBE" w:rsidRDefault="004576F3" w:rsidP="004C4EDB">
            <w:pPr>
              <w:jc w:val="center"/>
              <w:rPr>
                <w:rFonts w:ascii="Arial" w:hAnsi="Arial" w:cs="Arial"/>
                <w:b/>
                <w:bCs/>
                <w:sz w:val="24"/>
                <w:szCs w:val="24"/>
              </w:rPr>
            </w:pPr>
            <w:r w:rsidRPr="00961CBE">
              <w:rPr>
                <w:rFonts w:ascii="Arial" w:hAnsi="Arial" w:cs="Arial"/>
                <w:b/>
                <w:bCs/>
                <w:sz w:val="24"/>
                <w:szCs w:val="24"/>
              </w:rPr>
              <w:t>Title</w:t>
            </w:r>
          </w:p>
        </w:tc>
        <w:tc>
          <w:tcPr>
            <w:tcW w:w="1656" w:type="dxa"/>
          </w:tcPr>
          <w:p w14:paraId="3196FB52" w14:textId="77777777" w:rsidR="004576F3" w:rsidRPr="00961CBE" w:rsidRDefault="004576F3" w:rsidP="004C4EDB">
            <w:pPr>
              <w:jc w:val="center"/>
              <w:rPr>
                <w:rFonts w:ascii="Arial" w:hAnsi="Arial" w:cs="Arial"/>
                <w:b/>
                <w:bCs/>
                <w:sz w:val="24"/>
                <w:szCs w:val="24"/>
              </w:rPr>
            </w:pPr>
            <w:r w:rsidRPr="00961CBE">
              <w:rPr>
                <w:rFonts w:ascii="Arial" w:hAnsi="Arial" w:cs="Arial"/>
                <w:b/>
                <w:bCs/>
                <w:sz w:val="24"/>
                <w:szCs w:val="24"/>
              </w:rPr>
              <w:t>Date</w:t>
            </w:r>
          </w:p>
        </w:tc>
        <w:tc>
          <w:tcPr>
            <w:tcW w:w="4140" w:type="dxa"/>
          </w:tcPr>
          <w:p w14:paraId="08344824" w14:textId="77777777" w:rsidR="004576F3" w:rsidRPr="00961CBE" w:rsidRDefault="004576F3" w:rsidP="004C4EDB">
            <w:pPr>
              <w:jc w:val="center"/>
              <w:rPr>
                <w:rFonts w:ascii="Arial" w:hAnsi="Arial" w:cs="Arial"/>
                <w:b/>
                <w:bCs/>
                <w:sz w:val="24"/>
                <w:szCs w:val="24"/>
              </w:rPr>
            </w:pPr>
            <w:r w:rsidRPr="00961CBE">
              <w:rPr>
                <w:rFonts w:ascii="Arial" w:hAnsi="Arial" w:cs="Arial"/>
                <w:b/>
                <w:bCs/>
                <w:sz w:val="24"/>
                <w:szCs w:val="24"/>
              </w:rPr>
              <w:t>Purpose</w:t>
            </w:r>
          </w:p>
        </w:tc>
      </w:tr>
      <w:tr w:rsidR="004576F3" w14:paraId="665DD47E" w14:textId="77777777" w:rsidTr="004C4EDB">
        <w:trPr>
          <w:trHeight w:val="440"/>
        </w:trPr>
        <w:tc>
          <w:tcPr>
            <w:tcW w:w="1252" w:type="dxa"/>
          </w:tcPr>
          <w:p w14:paraId="64876197" w14:textId="77777777" w:rsidR="004576F3" w:rsidRDefault="004576F3" w:rsidP="004C4EDB">
            <w:pPr>
              <w:rPr>
                <w:rFonts w:ascii="Arial" w:hAnsi="Arial" w:cs="Arial"/>
                <w:sz w:val="24"/>
                <w:szCs w:val="24"/>
              </w:rPr>
            </w:pPr>
            <w:r w:rsidRPr="000A0829">
              <w:rPr>
                <w:rFonts w:ascii="Arial" w:hAnsi="Arial" w:cs="Arial"/>
                <w:sz w:val="24"/>
                <w:szCs w:val="24"/>
              </w:rPr>
              <w:t>20-64</w:t>
            </w:r>
          </w:p>
        </w:tc>
        <w:tc>
          <w:tcPr>
            <w:tcW w:w="3474" w:type="dxa"/>
          </w:tcPr>
          <w:p w14:paraId="38B7C45C" w14:textId="77777777" w:rsidR="004576F3" w:rsidRDefault="004576F3" w:rsidP="004C4EDB">
            <w:pPr>
              <w:rPr>
                <w:rFonts w:ascii="Arial" w:hAnsi="Arial" w:cs="Arial"/>
                <w:sz w:val="24"/>
                <w:szCs w:val="24"/>
              </w:rPr>
            </w:pPr>
            <w:r w:rsidRPr="000A0829">
              <w:rPr>
                <w:rFonts w:ascii="Arial" w:hAnsi="Arial" w:cs="Arial"/>
                <w:sz w:val="24"/>
                <w:szCs w:val="24"/>
              </w:rPr>
              <w:t>DEADLINE HAS PASSED!  Resolving FY 2015 Canceling Year Lines</w:t>
            </w:r>
          </w:p>
        </w:tc>
        <w:tc>
          <w:tcPr>
            <w:tcW w:w="1656" w:type="dxa"/>
          </w:tcPr>
          <w:p w14:paraId="7CF4C37A" w14:textId="77777777" w:rsidR="004576F3" w:rsidRDefault="004576F3" w:rsidP="004C4EDB">
            <w:pPr>
              <w:rPr>
                <w:rFonts w:ascii="Arial" w:hAnsi="Arial" w:cs="Arial"/>
                <w:sz w:val="24"/>
                <w:szCs w:val="24"/>
              </w:rPr>
            </w:pPr>
            <w:r>
              <w:rPr>
                <w:rFonts w:ascii="Arial" w:hAnsi="Arial" w:cs="Arial"/>
                <w:sz w:val="24"/>
                <w:szCs w:val="24"/>
              </w:rPr>
              <w:t>8/3/2020</w:t>
            </w:r>
          </w:p>
        </w:tc>
        <w:tc>
          <w:tcPr>
            <w:tcW w:w="4140" w:type="dxa"/>
          </w:tcPr>
          <w:p w14:paraId="54FC1927" w14:textId="77777777" w:rsidR="004576F3" w:rsidRDefault="004576F3" w:rsidP="004C4EDB">
            <w:pPr>
              <w:rPr>
                <w:rFonts w:ascii="Arial" w:hAnsi="Arial" w:cs="Arial"/>
                <w:sz w:val="24"/>
                <w:szCs w:val="24"/>
              </w:rPr>
            </w:pPr>
            <w:r w:rsidRPr="000A0829">
              <w:rPr>
                <w:rFonts w:ascii="Arial" w:hAnsi="Arial" w:cs="Arial"/>
                <w:sz w:val="24"/>
                <w:szCs w:val="24"/>
              </w:rPr>
              <w:t xml:space="preserve">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w:t>
            </w:r>
            <w:r w:rsidRPr="000A0829">
              <w:rPr>
                <w:rFonts w:ascii="Arial" w:hAnsi="Arial" w:cs="Arial"/>
                <w:sz w:val="24"/>
                <w:szCs w:val="24"/>
              </w:rPr>
              <w:lastRenderedPageBreak/>
              <w:t>an appropriation’s period of availability for incurring new obligations</w:t>
            </w:r>
          </w:p>
        </w:tc>
      </w:tr>
      <w:tr w:rsidR="004576F3" w:rsidRPr="00961CBE" w14:paraId="634E333E" w14:textId="77777777" w:rsidTr="004C4EDB">
        <w:trPr>
          <w:trHeight w:val="440"/>
        </w:trPr>
        <w:tc>
          <w:tcPr>
            <w:tcW w:w="1252" w:type="dxa"/>
          </w:tcPr>
          <w:p w14:paraId="38ADD21F" w14:textId="77777777" w:rsidR="004576F3" w:rsidRPr="00961CBE" w:rsidRDefault="004576F3" w:rsidP="004C4EDB">
            <w:pPr>
              <w:rPr>
                <w:rFonts w:ascii="Arial" w:hAnsi="Arial" w:cs="Arial"/>
                <w:sz w:val="24"/>
                <w:szCs w:val="24"/>
              </w:rPr>
            </w:pPr>
            <w:r>
              <w:rPr>
                <w:rFonts w:ascii="Arial" w:hAnsi="Arial" w:cs="Arial"/>
                <w:sz w:val="24"/>
                <w:szCs w:val="24"/>
              </w:rPr>
              <w:lastRenderedPageBreak/>
              <w:t>20-65</w:t>
            </w:r>
          </w:p>
        </w:tc>
        <w:tc>
          <w:tcPr>
            <w:tcW w:w="3474" w:type="dxa"/>
          </w:tcPr>
          <w:p w14:paraId="7F62BBC3" w14:textId="77777777" w:rsidR="004576F3" w:rsidRPr="00886584" w:rsidRDefault="004576F3" w:rsidP="004C4EDB">
            <w:pPr>
              <w:spacing w:after="200"/>
              <w:rPr>
                <w:rFonts w:ascii="Arial" w:hAnsi="Arial" w:cs="Arial"/>
                <w:sz w:val="24"/>
                <w:szCs w:val="24"/>
              </w:rPr>
            </w:pPr>
            <w:r w:rsidRPr="00886584">
              <w:rPr>
                <w:rFonts w:ascii="Arial" w:hAnsi="Arial" w:cs="Arial"/>
                <w:sz w:val="24"/>
                <w:szCs w:val="24"/>
              </w:rPr>
              <w:t>Resolving FY 2015 Canceling Year Lines</w:t>
            </w:r>
          </w:p>
          <w:p w14:paraId="09CA1324" w14:textId="77777777" w:rsidR="004576F3" w:rsidRPr="00961CBE" w:rsidRDefault="004576F3" w:rsidP="004C4EDB">
            <w:pPr>
              <w:rPr>
                <w:rFonts w:ascii="Arial" w:hAnsi="Arial" w:cs="Arial"/>
                <w:sz w:val="24"/>
                <w:szCs w:val="24"/>
              </w:rPr>
            </w:pPr>
          </w:p>
        </w:tc>
        <w:tc>
          <w:tcPr>
            <w:tcW w:w="1656" w:type="dxa"/>
          </w:tcPr>
          <w:p w14:paraId="284D03C0" w14:textId="77777777" w:rsidR="004576F3" w:rsidRPr="00961CBE" w:rsidRDefault="004576F3" w:rsidP="004C4EDB">
            <w:pPr>
              <w:rPr>
                <w:rFonts w:ascii="Arial" w:hAnsi="Arial" w:cs="Arial"/>
                <w:sz w:val="24"/>
                <w:szCs w:val="24"/>
              </w:rPr>
            </w:pPr>
            <w:r>
              <w:rPr>
                <w:rFonts w:ascii="Arial" w:hAnsi="Arial" w:cs="Arial"/>
                <w:sz w:val="24"/>
                <w:szCs w:val="24"/>
              </w:rPr>
              <w:t>8/10/2020</w:t>
            </w:r>
          </w:p>
        </w:tc>
        <w:tc>
          <w:tcPr>
            <w:tcW w:w="4140" w:type="dxa"/>
          </w:tcPr>
          <w:p w14:paraId="2D95B504" w14:textId="77777777" w:rsidR="004576F3" w:rsidRPr="00961CBE" w:rsidRDefault="004576F3" w:rsidP="004C4EDB">
            <w:pPr>
              <w:rPr>
                <w:rFonts w:ascii="Arial" w:hAnsi="Arial" w:cs="Arial"/>
                <w:sz w:val="24"/>
                <w:szCs w:val="24"/>
              </w:rPr>
            </w:pPr>
            <w:r w:rsidRPr="007A5B14">
              <w:rPr>
                <w:rFonts w:ascii="Arial" w:hAnsi="Arial" w:cs="Arial"/>
                <w:sz w:val="24"/>
                <w:szCs w:val="24"/>
              </w:rPr>
              <w:t>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an appropriation’s period of availability for incurring new obligations</w:t>
            </w:r>
          </w:p>
        </w:tc>
      </w:tr>
      <w:tr w:rsidR="004576F3" w:rsidRPr="00961CBE" w14:paraId="5B91897D" w14:textId="77777777" w:rsidTr="004C4EDB">
        <w:trPr>
          <w:trHeight w:val="440"/>
        </w:trPr>
        <w:tc>
          <w:tcPr>
            <w:tcW w:w="1252" w:type="dxa"/>
          </w:tcPr>
          <w:p w14:paraId="4A10B4BA" w14:textId="77777777" w:rsidR="004576F3" w:rsidRPr="00961CBE" w:rsidRDefault="004576F3" w:rsidP="004C4EDB">
            <w:pPr>
              <w:rPr>
                <w:rFonts w:ascii="Arial" w:hAnsi="Arial" w:cs="Arial"/>
                <w:sz w:val="24"/>
                <w:szCs w:val="24"/>
              </w:rPr>
            </w:pPr>
            <w:r>
              <w:rPr>
                <w:rFonts w:ascii="Arial" w:hAnsi="Arial" w:cs="Arial"/>
                <w:sz w:val="24"/>
                <w:szCs w:val="24"/>
              </w:rPr>
              <w:t>20-66</w:t>
            </w:r>
          </w:p>
        </w:tc>
        <w:tc>
          <w:tcPr>
            <w:tcW w:w="3474" w:type="dxa"/>
          </w:tcPr>
          <w:p w14:paraId="7DF2304A" w14:textId="77777777" w:rsidR="004576F3" w:rsidRPr="00961CBE" w:rsidRDefault="004576F3" w:rsidP="004C4EDB">
            <w:pPr>
              <w:rPr>
                <w:rFonts w:ascii="Arial" w:hAnsi="Arial" w:cs="Arial"/>
                <w:sz w:val="24"/>
                <w:szCs w:val="24"/>
              </w:rPr>
            </w:pPr>
            <w:r w:rsidRPr="00886584">
              <w:rPr>
                <w:rFonts w:ascii="Arial" w:hAnsi="Arial" w:cs="Arial"/>
                <w:sz w:val="24"/>
                <w:szCs w:val="24"/>
              </w:rPr>
              <w:t xml:space="preserve">Are you reporting inaccurate data to the Federal Procurement Data System (FPDS)? – Unresolved </w:t>
            </w:r>
            <w:proofErr w:type="spellStart"/>
            <w:r w:rsidRPr="00886584">
              <w:rPr>
                <w:rFonts w:ascii="Arial" w:hAnsi="Arial" w:cs="Arial"/>
                <w:sz w:val="24"/>
                <w:szCs w:val="24"/>
              </w:rPr>
              <w:t>FedDataCheck</w:t>
            </w:r>
            <w:proofErr w:type="spellEnd"/>
            <w:r w:rsidRPr="00886584">
              <w:rPr>
                <w:rFonts w:ascii="Arial" w:hAnsi="Arial" w:cs="Arial"/>
                <w:sz w:val="24"/>
                <w:szCs w:val="24"/>
              </w:rPr>
              <w:t xml:space="preserve"> Alerts</w:t>
            </w:r>
          </w:p>
        </w:tc>
        <w:tc>
          <w:tcPr>
            <w:tcW w:w="1656" w:type="dxa"/>
          </w:tcPr>
          <w:p w14:paraId="4F33763A" w14:textId="77777777" w:rsidR="004576F3" w:rsidRPr="00961CBE" w:rsidRDefault="004576F3" w:rsidP="004C4EDB">
            <w:pPr>
              <w:rPr>
                <w:rFonts w:ascii="Arial" w:hAnsi="Arial" w:cs="Arial"/>
                <w:sz w:val="24"/>
                <w:szCs w:val="24"/>
              </w:rPr>
            </w:pPr>
            <w:r>
              <w:rPr>
                <w:rFonts w:ascii="Arial" w:hAnsi="Arial" w:cs="Arial"/>
                <w:sz w:val="24"/>
                <w:szCs w:val="24"/>
              </w:rPr>
              <w:t>8/11/2020</w:t>
            </w:r>
          </w:p>
        </w:tc>
        <w:tc>
          <w:tcPr>
            <w:tcW w:w="4140" w:type="dxa"/>
          </w:tcPr>
          <w:p w14:paraId="044B65EB" w14:textId="77777777" w:rsidR="004576F3" w:rsidRPr="00961CBE" w:rsidRDefault="004576F3" w:rsidP="004C4EDB">
            <w:pPr>
              <w:rPr>
                <w:rFonts w:ascii="Arial" w:hAnsi="Arial" w:cs="Arial"/>
                <w:sz w:val="24"/>
                <w:szCs w:val="24"/>
              </w:rPr>
            </w:pPr>
            <w:r w:rsidRPr="00886584">
              <w:rPr>
                <w:rFonts w:ascii="Arial" w:hAnsi="Arial" w:cs="Arial"/>
                <w:sz w:val="24"/>
                <w:szCs w:val="24"/>
              </w:rPr>
              <w:t>As of August 6, 2020, NIH has 1,851 unresolved FDC errors on actions reported to FPDS for FY20.</w:t>
            </w:r>
          </w:p>
        </w:tc>
      </w:tr>
      <w:tr w:rsidR="004576F3" w:rsidRPr="00961CBE" w14:paraId="4E3C90D2" w14:textId="77777777" w:rsidTr="004C4EDB">
        <w:trPr>
          <w:trHeight w:val="440"/>
        </w:trPr>
        <w:tc>
          <w:tcPr>
            <w:tcW w:w="1252" w:type="dxa"/>
          </w:tcPr>
          <w:p w14:paraId="7954652F" w14:textId="77777777" w:rsidR="004576F3" w:rsidRPr="00961CBE" w:rsidRDefault="004576F3" w:rsidP="004C4EDB">
            <w:pPr>
              <w:rPr>
                <w:rFonts w:ascii="Arial" w:hAnsi="Arial" w:cs="Arial"/>
                <w:sz w:val="24"/>
                <w:szCs w:val="24"/>
              </w:rPr>
            </w:pPr>
            <w:r>
              <w:rPr>
                <w:rFonts w:ascii="Arial" w:hAnsi="Arial" w:cs="Arial"/>
                <w:sz w:val="24"/>
                <w:szCs w:val="24"/>
              </w:rPr>
              <w:t>20-67</w:t>
            </w:r>
          </w:p>
        </w:tc>
        <w:tc>
          <w:tcPr>
            <w:tcW w:w="3474" w:type="dxa"/>
          </w:tcPr>
          <w:p w14:paraId="35BAC80B" w14:textId="77777777" w:rsidR="004576F3" w:rsidRPr="00886584" w:rsidRDefault="004576F3" w:rsidP="004C4EDB">
            <w:pPr>
              <w:rPr>
                <w:rFonts w:ascii="Arial" w:hAnsi="Arial" w:cs="Arial"/>
                <w:sz w:val="24"/>
                <w:szCs w:val="24"/>
              </w:rPr>
            </w:pPr>
            <w:r w:rsidRPr="00886584">
              <w:rPr>
                <w:rFonts w:ascii="Arial" w:hAnsi="Arial" w:cs="Arial"/>
                <w:sz w:val="24"/>
                <w:szCs w:val="24"/>
              </w:rPr>
              <w:t>Contractor Responsibility Assessment Automation Training with Potomac Wave</w:t>
            </w:r>
          </w:p>
        </w:tc>
        <w:tc>
          <w:tcPr>
            <w:tcW w:w="1656" w:type="dxa"/>
          </w:tcPr>
          <w:p w14:paraId="59990D29" w14:textId="77777777" w:rsidR="004576F3" w:rsidRPr="00961CBE" w:rsidRDefault="004576F3" w:rsidP="004C4EDB">
            <w:pPr>
              <w:rPr>
                <w:rFonts w:ascii="Arial" w:hAnsi="Arial" w:cs="Arial"/>
                <w:sz w:val="24"/>
                <w:szCs w:val="24"/>
              </w:rPr>
            </w:pPr>
            <w:r>
              <w:rPr>
                <w:rFonts w:ascii="Arial" w:hAnsi="Arial" w:cs="Arial"/>
                <w:sz w:val="24"/>
                <w:szCs w:val="24"/>
              </w:rPr>
              <w:t>8/12/2020</w:t>
            </w:r>
          </w:p>
        </w:tc>
        <w:tc>
          <w:tcPr>
            <w:tcW w:w="4140" w:type="dxa"/>
          </w:tcPr>
          <w:p w14:paraId="5F9ABC74" w14:textId="77777777" w:rsidR="004576F3" w:rsidRPr="00961CBE" w:rsidRDefault="004576F3" w:rsidP="004C4EDB">
            <w:pPr>
              <w:rPr>
                <w:rFonts w:ascii="Arial" w:hAnsi="Arial" w:cs="Arial"/>
                <w:sz w:val="24"/>
                <w:szCs w:val="24"/>
              </w:rPr>
            </w:pPr>
            <w:r w:rsidRPr="00886584">
              <w:rPr>
                <w:rFonts w:ascii="Arial" w:hAnsi="Arial" w:cs="Arial"/>
                <w:sz w:val="24"/>
                <w:szCs w:val="24"/>
              </w:rPr>
              <w:t>Prohibition on Contracting for Certain Telecommunications and Video Surveillance Services or Equipment is a hot topic now.  Information regarding section 889 was issued in a communication sent by the Simplified Acquisition Help Desk on Tuesday, August 11, 2020</w:t>
            </w:r>
          </w:p>
        </w:tc>
      </w:tr>
      <w:tr w:rsidR="004576F3" w14:paraId="45FF0356" w14:textId="77777777" w:rsidTr="004C4EDB">
        <w:trPr>
          <w:trHeight w:val="440"/>
        </w:trPr>
        <w:tc>
          <w:tcPr>
            <w:tcW w:w="1252" w:type="dxa"/>
          </w:tcPr>
          <w:p w14:paraId="048CAA99" w14:textId="77777777" w:rsidR="004576F3" w:rsidRDefault="004576F3" w:rsidP="004C4EDB">
            <w:pPr>
              <w:rPr>
                <w:rFonts w:ascii="Arial" w:hAnsi="Arial" w:cs="Arial"/>
                <w:sz w:val="24"/>
                <w:szCs w:val="24"/>
              </w:rPr>
            </w:pPr>
            <w:r>
              <w:rPr>
                <w:rFonts w:ascii="Arial" w:hAnsi="Arial" w:cs="Arial"/>
                <w:sz w:val="24"/>
                <w:szCs w:val="24"/>
              </w:rPr>
              <w:t>20-68</w:t>
            </w:r>
          </w:p>
        </w:tc>
        <w:tc>
          <w:tcPr>
            <w:tcW w:w="3474" w:type="dxa"/>
          </w:tcPr>
          <w:p w14:paraId="23796F0C" w14:textId="77777777" w:rsidR="004576F3" w:rsidRDefault="004576F3" w:rsidP="004C4EDB">
            <w:pPr>
              <w:rPr>
                <w:rFonts w:ascii="Arial" w:hAnsi="Arial" w:cs="Arial"/>
                <w:sz w:val="24"/>
                <w:szCs w:val="24"/>
              </w:rPr>
            </w:pPr>
            <w:r w:rsidRPr="00886584">
              <w:rPr>
                <w:rFonts w:ascii="Arial" w:hAnsi="Arial" w:cs="Arial"/>
                <w:sz w:val="24"/>
                <w:szCs w:val="24"/>
              </w:rPr>
              <w:t>DEADLINE HAS PASSED!  Resolving FY 2015 Canceling Year Lines</w:t>
            </w:r>
          </w:p>
        </w:tc>
        <w:tc>
          <w:tcPr>
            <w:tcW w:w="1656" w:type="dxa"/>
          </w:tcPr>
          <w:p w14:paraId="04A5F36F" w14:textId="77777777" w:rsidR="004576F3" w:rsidRDefault="004576F3" w:rsidP="004C4EDB">
            <w:pPr>
              <w:rPr>
                <w:rFonts w:ascii="Arial" w:hAnsi="Arial" w:cs="Arial"/>
                <w:sz w:val="24"/>
                <w:szCs w:val="24"/>
              </w:rPr>
            </w:pPr>
            <w:r>
              <w:rPr>
                <w:rFonts w:ascii="Arial" w:hAnsi="Arial" w:cs="Arial"/>
                <w:sz w:val="24"/>
                <w:szCs w:val="24"/>
              </w:rPr>
              <w:t>8/17/2020</w:t>
            </w:r>
          </w:p>
        </w:tc>
        <w:tc>
          <w:tcPr>
            <w:tcW w:w="4140" w:type="dxa"/>
          </w:tcPr>
          <w:p w14:paraId="6D789528" w14:textId="77777777" w:rsidR="004576F3" w:rsidRDefault="004576F3" w:rsidP="004C4EDB">
            <w:pPr>
              <w:rPr>
                <w:rFonts w:ascii="Arial" w:hAnsi="Arial" w:cs="Arial"/>
                <w:sz w:val="24"/>
                <w:szCs w:val="24"/>
              </w:rPr>
            </w:pPr>
            <w:r w:rsidRPr="00886584">
              <w:rPr>
                <w:rFonts w:ascii="Arial" w:hAnsi="Arial" w:cs="Arial"/>
                <w:sz w:val="24"/>
                <w:szCs w:val="24"/>
              </w:rPr>
              <w:t>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an appropriation’s period of availability for incurring new obligations</w:t>
            </w:r>
          </w:p>
        </w:tc>
      </w:tr>
      <w:tr w:rsidR="004576F3" w14:paraId="243D5883" w14:textId="77777777" w:rsidTr="004C4EDB">
        <w:trPr>
          <w:trHeight w:val="440"/>
        </w:trPr>
        <w:tc>
          <w:tcPr>
            <w:tcW w:w="1252" w:type="dxa"/>
          </w:tcPr>
          <w:p w14:paraId="632FD1FB" w14:textId="77777777" w:rsidR="004576F3" w:rsidRDefault="004576F3" w:rsidP="004C4EDB">
            <w:pPr>
              <w:rPr>
                <w:rFonts w:ascii="Arial" w:hAnsi="Arial" w:cs="Arial"/>
                <w:sz w:val="24"/>
                <w:szCs w:val="24"/>
              </w:rPr>
            </w:pPr>
            <w:r>
              <w:rPr>
                <w:rFonts w:ascii="Arial" w:hAnsi="Arial" w:cs="Arial"/>
                <w:sz w:val="24"/>
                <w:szCs w:val="24"/>
              </w:rPr>
              <w:t>20-69</w:t>
            </w:r>
          </w:p>
        </w:tc>
        <w:tc>
          <w:tcPr>
            <w:tcW w:w="3474" w:type="dxa"/>
          </w:tcPr>
          <w:p w14:paraId="3C977EEC" w14:textId="77777777" w:rsidR="004576F3" w:rsidRDefault="004576F3" w:rsidP="004C4EDB">
            <w:pPr>
              <w:rPr>
                <w:rFonts w:ascii="Arial" w:hAnsi="Arial" w:cs="Arial"/>
                <w:sz w:val="24"/>
                <w:szCs w:val="24"/>
              </w:rPr>
            </w:pPr>
            <w:r w:rsidRPr="00886584">
              <w:rPr>
                <w:rFonts w:ascii="Arial" w:hAnsi="Arial" w:cs="Arial"/>
                <w:sz w:val="24"/>
                <w:szCs w:val="24"/>
              </w:rPr>
              <w:t>FPDS Scheduled Maintenance</w:t>
            </w:r>
          </w:p>
        </w:tc>
        <w:tc>
          <w:tcPr>
            <w:tcW w:w="1656" w:type="dxa"/>
          </w:tcPr>
          <w:p w14:paraId="1AECFD6D" w14:textId="77777777" w:rsidR="004576F3" w:rsidRDefault="004576F3" w:rsidP="004C4EDB">
            <w:pPr>
              <w:rPr>
                <w:rFonts w:ascii="Arial" w:hAnsi="Arial" w:cs="Arial"/>
                <w:sz w:val="24"/>
                <w:szCs w:val="24"/>
              </w:rPr>
            </w:pPr>
            <w:r>
              <w:rPr>
                <w:rFonts w:ascii="Arial" w:hAnsi="Arial" w:cs="Arial"/>
                <w:sz w:val="24"/>
                <w:szCs w:val="24"/>
              </w:rPr>
              <w:t>8/21/2020</w:t>
            </w:r>
          </w:p>
        </w:tc>
        <w:tc>
          <w:tcPr>
            <w:tcW w:w="4140" w:type="dxa"/>
          </w:tcPr>
          <w:p w14:paraId="10C30256" w14:textId="77777777" w:rsidR="004576F3" w:rsidRPr="00886584" w:rsidRDefault="004576F3" w:rsidP="004C4EDB">
            <w:pPr>
              <w:rPr>
                <w:rFonts w:ascii="Arial" w:hAnsi="Arial" w:cs="Arial"/>
                <w:sz w:val="24"/>
                <w:szCs w:val="24"/>
              </w:rPr>
            </w:pPr>
            <w:r w:rsidRPr="00886584">
              <w:rPr>
                <w:rFonts w:ascii="Arial" w:hAnsi="Arial" w:cs="Arial"/>
                <w:sz w:val="24"/>
                <w:szCs w:val="24"/>
              </w:rPr>
              <w:t xml:space="preserve">FPDS will be down for scheduled maintenance on Saturday, August 22, 2020, from 8:00 AM until approximately 3:00 PM (EDT).  As a result, buyers will not be able to report contract actions to FPDS during this time. </w:t>
            </w:r>
          </w:p>
        </w:tc>
      </w:tr>
      <w:tr w:rsidR="004576F3" w14:paraId="7001FDB1" w14:textId="77777777" w:rsidTr="004C4EDB">
        <w:trPr>
          <w:trHeight w:val="440"/>
        </w:trPr>
        <w:tc>
          <w:tcPr>
            <w:tcW w:w="1252" w:type="dxa"/>
          </w:tcPr>
          <w:p w14:paraId="60796710" w14:textId="77777777" w:rsidR="004576F3" w:rsidRDefault="004576F3" w:rsidP="004C4EDB">
            <w:pPr>
              <w:rPr>
                <w:rFonts w:ascii="Arial" w:hAnsi="Arial" w:cs="Arial"/>
                <w:sz w:val="24"/>
                <w:szCs w:val="24"/>
              </w:rPr>
            </w:pPr>
            <w:r>
              <w:rPr>
                <w:rFonts w:ascii="Arial" w:hAnsi="Arial" w:cs="Arial"/>
                <w:sz w:val="24"/>
                <w:szCs w:val="24"/>
              </w:rPr>
              <w:lastRenderedPageBreak/>
              <w:t>20-70</w:t>
            </w:r>
          </w:p>
        </w:tc>
        <w:tc>
          <w:tcPr>
            <w:tcW w:w="3474" w:type="dxa"/>
          </w:tcPr>
          <w:p w14:paraId="2C73C9F9" w14:textId="77777777" w:rsidR="004576F3" w:rsidRDefault="004576F3" w:rsidP="004C4EDB">
            <w:pPr>
              <w:rPr>
                <w:rFonts w:ascii="Arial" w:hAnsi="Arial" w:cs="Arial"/>
                <w:sz w:val="24"/>
                <w:szCs w:val="24"/>
              </w:rPr>
            </w:pPr>
            <w:r w:rsidRPr="00886584">
              <w:rPr>
                <w:rFonts w:ascii="Arial" w:hAnsi="Arial" w:cs="Arial"/>
                <w:sz w:val="24"/>
                <w:szCs w:val="24"/>
              </w:rPr>
              <w:t>Resolving FY 2015 Canceling Year Lines</w:t>
            </w:r>
          </w:p>
        </w:tc>
        <w:tc>
          <w:tcPr>
            <w:tcW w:w="1656" w:type="dxa"/>
          </w:tcPr>
          <w:p w14:paraId="71182447" w14:textId="77777777" w:rsidR="004576F3" w:rsidRDefault="004576F3" w:rsidP="004C4EDB">
            <w:pPr>
              <w:rPr>
                <w:rFonts w:ascii="Arial" w:hAnsi="Arial" w:cs="Arial"/>
                <w:sz w:val="24"/>
                <w:szCs w:val="24"/>
              </w:rPr>
            </w:pPr>
            <w:r>
              <w:rPr>
                <w:rFonts w:ascii="Arial" w:hAnsi="Arial" w:cs="Arial"/>
                <w:sz w:val="24"/>
                <w:szCs w:val="24"/>
              </w:rPr>
              <w:t>8/24/2020</w:t>
            </w:r>
          </w:p>
        </w:tc>
        <w:tc>
          <w:tcPr>
            <w:tcW w:w="4140" w:type="dxa"/>
          </w:tcPr>
          <w:p w14:paraId="4634BB4B" w14:textId="77777777" w:rsidR="004576F3" w:rsidRDefault="004576F3" w:rsidP="004C4EDB">
            <w:pPr>
              <w:rPr>
                <w:rFonts w:ascii="Arial" w:hAnsi="Arial" w:cs="Arial"/>
                <w:sz w:val="24"/>
                <w:szCs w:val="24"/>
              </w:rPr>
            </w:pPr>
            <w:r w:rsidRPr="00886584">
              <w:rPr>
                <w:rFonts w:ascii="Arial" w:hAnsi="Arial" w:cs="Arial"/>
                <w:sz w:val="24"/>
                <w:szCs w:val="24"/>
              </w:rPr>
              <w:t>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an appropriation’s period of availability for incurring new obligations</w:t>
            </w:r>
          </w:p>
        </w:tc>
      </w:tr>
      <w:tr w:rsidR="004576F3" w14:paraId="031FF19E" w14:textId="77777777" w:rsidTr="004C4EDB">
        <w:trPr>
          <w:trHeight w:val="440"/>
        </w:trPr>
        <w:tc>
          <w:tcPr>
            <w:tcW w:w="1252" w:type="dxa"/>
          </w:tcPr>
          <w:p w14:paraId="176E5A27" w14:textId="77777777" w:rsidR="004576F3" w:rsidRDefault="004576F3" w:rsidP="004C4EDB">
            <w:pPr>
              <w:rPr>
                <w:rFonts w:ascii="Arial" w:hAnsi="Arial" w:cs="Arial"/>
                <w:sz w:val="24"/>
                <w:szCs w:val="24"/>
              </w:rPr>
            </w:pPr>
            <w:r>
              <w:rPr>
                <w:rFonts w:ascii="Arial" w:hAnsi="Arial" w:cs="Arial"/>
                <w:sz w:val="24"/>
                <w:szCs w:val="24"/>
              </w:rPr>
              <w:t>20-71</w:t>
            </w:r>
          </w:p>
        </w:tc>
        <w:tc>
          <w:tcPr>
            <w:tcW w:w="3474" w:type="dxa"/>
          </w:tcPr>
          <w:p w14:paraId="7F853E8A" w14:textId="77777777" w:rsidR="004576F3" w:rsidRPr="00886584" w:rsidRDefault="004576F3" w:rsidP="004C4EDB">
            <w:pPr>
              <w:rPr>
                <w:rFonts w:ascii="Arial" w:hAnsi="Arial" w:cs="Arial"/>
                <w:sz w:val="24"/>
                <w:szCs w:val="24"/>
              </w:rPr>
            </w:pPr>
            <w:r w:rsidRPr="00886584">
              <w:rPr>
                <w:rFonts w:ascii="Arial" w:hAnsi="Arial" w:cs="Arial"/>
                <w:sz w:val="24"/>
                <w:szCs w:val="24"/>
              </w:rPr>
              <w:t xml:space="preserve">NIA </w:t>
            </w:r>
            <w:proofErr w:type="gramStart"/>
            <w:r w:rsidRPr="00886584">
              <w:rPr>
                <w:rFonts w:ascii="Arial" w:hAnsi="Arial" w:cs="Arial"/>
                <w:sz w:val="24"/>
                <w:szCs w:val="24"/>
              </w:rPr>
              <w:t>Code  -</w:t>
            </w:r>
            <w:proofErr w:type="gramEnd"/>
            <w:r w:rsidRPr="00886584">
              <w:rPr>
                <w:rFonts w:ascii="Arial" w:hAnsi="Arial" w:cs="Arial"/>
                <w:sz w:val="24"/>
                <w:szCs w:val="24"/>
              </w:rPr>
              <w:t xml:space="preserve"> Hurricane Laura 2020</w:t>
            </w:r>
          </w:p>
          <w:p w14:paraId="35BD3310" w14:textId="77777777" w:rsidR="004576F3" w:rsidRDefault="004576F3" w:rsidP="004C4EDB">
            <w:pPr>
              <w:rPr>
                <w:rFonts w:ascii="Arial" w:hAnsi="Arial" w:cs="Arial"/>
                <w:sz w:val="24"/>
                <w:szCs w:val="24"/>
              </w:rPr>
            </w:pPr>
          </w:p>
        </w:tc>
        <w:tc>
          <w:tcPr>
            <w:tcW w:w="1656" w:type="dxa"/>
          </w:tcPr>
          <w:p w14:paraId="365CBB43" w14:textId="77777777" w:rsidR="004576F3" w:rsidRDefault="004576F3" w:rsidP="004C4EDB">
            <w:pPr>
              <w:rPr>
                <w:rFonts w:ascii="Arial" w:hAnsi="Arial" w:cs="Arial"/>
                <w:sz w:val="24"/>
                <w:szCs w:val="24"/>
              </w:rPr>
            </w:pPr>
            <w:r>
              <w:rPr>
                <w:rFonts w:ascii="Arial" w:hAnsi="Arial" w:cs="Arial"/>
                <w:sz w:val="24"/>
                <w:szCs w:val="24"/>
              </w:rPr>
              <w:t>8/26/2020</w:t>
            </w:r>
          </w:p>
        </w:tc>
        <w:tc>
          <w:tcPr>
            <w:tcW w:w="4140" w:type="dxa"/>
          </w:tcPr>
          <w:p w14:paraId="1E88DA00" w14:textId="77777777" w:rsidR="004576F3" w:rsidRDefault="004576F3" w:rsidP="004C4EDB">
            <w:pPr>
              <w:rPr>
                <w:rFonts w:ascii="Arial" w:hAnsi="Arial" w:cs="Arial"/>
                <w:sz w:val="24"/>
                <w:szCs w:val="24"/>
              </w:rPr>
            </w:pPr>
            <w:r w:rsidRPr="00886584">
              <w:rPr>
                <w:rFonts w:ascii="Arial" w:hAnsi="Arial" w:cs="Arial"/>
                <w:sz w:val="24"/>
                <w:szCs w:val="24"/>
              </w:rPr>
              <w:t>A new National Interest Action (NIA) value in the Federal Procurement Data System (FPDS) as a means of tracking acquisitions involved in response to Hurricane Laura 2020 is now available</w:t>
            </w:r>
          </w:p>
        </w:tc>
      </w:tr>
      <w:tr w:rsidR="004576F3" w:rsidRPr="00961CBE" w14:paraId="307C523A" w14:textId="77777777" w:rsidTr="004C4EDB">
        <w:trPr>
          <w:trHeight w:val="440"/>
        </w:trPr>
        <w:tc>
          <w:tcPr>
            <w:tcW w:w="1252" w:type="dxa"/>
          </w:tcPr>
          <w:p w14:paraId="7B84F60A" w14:textId="77777777" w:rsidR="004576F3" w:rsidRPr="00961CBE" w:rsidRDefault="004576F3" w:rsidP="004C4EDB">
            <w:pPr>
              <w:rPr>
                <w:rFonts w:ascii="Arial" w:hAnsi="Arial" w:cs="Arial"/>
                <w:sz w:val="24"/>
                <w:szCs w:val="24"/>
              </w:rPr>
            </w:pPr>
            <w:r>
              <w:rPr>
                <w:rFonts w:ascii="Arial" w:hAnsi="Arial" w:cs="Arial"/>
                <w:sz w:val="24"/>
                <w:szCs w:val="24"/>
              </w:rPr>
              <w:t>20-72</w:t>
            </w:r>
          </w:p>
        </w:tc>
        <w:tc>
          <w:tcPr>
            <w:tcW w:w="3474" w:type="dxa"/>
          </w:tcPr>
          <w:p w14:paraId="36DFCDF4" w14:textId="77777777" w:rsidR="004576F3" w:rsidRPr="00961CBE" w:rsidRDefault="004576F3" w:rsidP="004C4EDB">
            <w:pPr>
              <w:rPr>
                <w:rFonts w:ascii="Arial" w:hAnsi="Arial" w:cs="Arial"/>
                <w:sz w:val="24"/>
                <w:szCs w:val="24"/>
              </w:rPr>
            </w:pPr>
            <w:r w:rsidRPr="00886584">
              <w:rPr>
                <w:rFonts w:ascii="Arial" w:hAnsi="Arial" w:cs="Arial"/>
                <w:sz w:val="24"/>
                <w:szCs w:val="24"/>
              </w:rPr>
              <w:t>Extension of FPDS National Interest Action Code for COVID-19</w:t>
            </w:r>
          </w:p>
        </w:tc>
        <w:tc>
          <w:tcPr>
            <w:tcW w:w="1656" w:type="dxa"/>
          </w:tcPr>
          <w:p w14:paraId="42ECDED6" w14:textId="77777777" w:rsidR="004576F3" w:rsidRPr="00961CBE" w:rsidRDefault="004576F3" w:rsidP="004C4EDB">
            <w:pPr>
              <w:rPr>
                <w:rFonts w:ascii="Arial" w:hAnsi="Arial" w:cs="Arial"/>
                <w:sz w:val="24"/>
                <w:szCs w:val="24"/>
              </w:rPr>
            </w:pPr>
            <w:r>
              <w:rPr>
                <w:rFonts w:ascii="Arial" w:hAnsi="Arial" w:cs="Arial"/>
                <w:sz w:val="24"/>
                <w:szCs w:val="24"/>
              </w:rPr>
              <w:t>8/28/2020</w:t>
            </w:r>
          </w:p>
        </w:tc>
        <w:tc>
          <w:tcPr>
            <w:tcW w:w="4140" w:type="dxa"/>
          </w:tcPr>
          <w:p w14:paraId="142D7F60" w14:textId="77777777" w:rsidR="004576F3" w:rsidRPr="00961CBE" w:rsidRDefault="004576F3" w:rsidP="004C4EDB">
            <w:pPr>
              <w:rPr>
                <w:rFonts w:ascii="Arial" w:hAnsi="Arial" w:cs="Arial"/>
                <w:sz w:val="24"/>
                <w:szCs w:val="24"/>
              </w:rPr>
            </w:pPr>
            <w:r w:rsidRPr="00886584">
              <w:rPr>
                <w:rFonts w:ascii="Arial" w:hAnsi="Arial" w:cs="Arial"/>
                <w:sz w:val="24"/>
                <w:szCs w:val="24"/>
              </w:rPr>
              <w:t>The National Interest Action (NIA) Code for COVID-19 is being extended to continue to track acquisition costs related to the COVID-19 efforts in FPDS</w:t>
            </w:r>
          </w:p>
        </w:tc>
      </w:tr>
      <w:tr w:rsidR="004576F3" w:rsidRPr="00961CBE" w14:paraId="3445EA44" w14:textId="77777777" w:rsidTr="004C4EDB">
        <w:trPr>
          <w:trHeight w:val="440"/>
        </w:trPr>
        <w:tc>
          <w:tcPr>
            <w:tcW w:w="1252" w:type="dxa"/>
          </w:tcPr>
          <w:p w14:paraId="2C6B586F" w14:textId="77777777" w:rsidR="004576F3" w:rsidRPr="00961CBE" w:rsidRDefault="004576F3" w:rsidP="004C4EDB">
            <w:pPr>
              <w:rPr>
                <w:rFonts w:ascii="Arial" w:hAnsi="Arial" w:cs="Arial"/>
                <w:sz w:val="24"/>
                <w:szCs w:val="24"/>
              </w:rPr>
            </w:pPr>
            <w:r>
              <w:rPr>
                <w:rFonts w:ascii="Arial" w:hAnsi="Arial" w:cs="Arial"/>
                <w:sz w:val="24"/>
                <w:szCs w:val="24"/>
              </w:rPr>
              <w:t>20-73</w:t>
            </w:r>
          </w:p>
        </w:tc>
        <w:tc>
          <w:tcPr>
            <w:tcW w:w="3474" w:type="dxa"/>
          </w:tcPr>
          <w:p w14:paraId="2D2C5A3D" w14:textId="77777777" w:rsidR="004576F3" w:rsidRPr="00E873A1" w:rsidRDefault="004576F3" w:rsidP="004C4EDB">
            <w:pPr>
              <w:rPr>
                <w:rFonts w:ascii="Arial" w:hAnsi="Arial" w:cs="Arial"/>
                <w:spacing w:val="-5"/>
                <w:sz w:val="24"/>
                <w:szCs w:val="24"/>
              </w:rPr>
            </w:pPr>
            <w:r>
              <w:rPr>
                <w:rFonts w:ascii="Arial" w:hAnsi="Arial" w:cs="Arial"/>
                <w:spacing w:val="-5"/>
                <w:sz w:val="24"/>
                <w:szCs w:val="24"/>
              </w:rPr>
              <w:t>NDAA Section 889 - Link to GSA Contract Modification Tracker</w:t>
            </w:r>
          </w:p>
        </w:tc>
        <w:tc>
          <w:tcPr>
            <w:tcW w:w="1656" w:type="dxa"/>
          </w:tcPr>
          <w:p w14:paraId="198EADAE" w14:textId="77777777" w:rsidR="004576F3" w:rsidRPr="006366B3" w:rsidRDefault="004576F3" w:rsidP="004C4EDB">
            <w:pPr>
              <w:rPr>
                <w:rFonts w:ascii="Arial" w:hAnsi="Arial" w:cs="Arial"/>
                <w:spacing w:val="-5"/>
                <w:sz w:val="24"/>
                <w:szCs w:val="24"/>
              </w:rPr>
            </w:pPr>
            <w:r w:rsidRPr="006366B3">
              <w:rPr>
                <w:rFonts w:ascii="Arial" w:hAnsi="Arial" w:cs="Arial"/>
                <w:spacing w:val="-5"/>
                <w:sz w:val="24"/>
                <w:szCs w:val="24"/>
              </w:rPr>
              <w:t>8/28/2020</w:t>
            </w:r>
          </w:p>
        </w:tc>
        <w:tc>
          <w:tcPr>
            <w:tcW w:w="4140" w:type="dxa"/>
          </w:tcPr>
          <w:p w14:paraId="11A9A5AF" w14:textId="77777777" w:rsidR="004576F3" w:rsidRPr="006366B3" w:rsidRDefault="004576F3" w:rsidP="004C4EDB">
            <w:pPr>
              <w:rPr>
                <w:rFonts w:ascii="Arial" w:hAnsi="Arial" w:cs="Arial"/>
                <w:spacing w:val="-5"/>
                <w:sz w:val="24"/>
                <w:szCs w:val="24"/>
              </w:rPr>
            </w:pPr>
            <w:r w:rsidRPr="006366B3">
              <w:rPr>
                <w:rFonts w:ascii="Arial" w:hAnsi="Arial" w:cs="Arial"/>
                <w:spacing w:val="-5"/>
                <w:sz w:val="24"/>
                <w:szCs w:val="24"/>
              </w:rPr>
              <w:t>A GSA Federal Acquisition Service (FAS) 889 Part B Contract Modification Tracking Dashboard is now available to provides users with a registry of GSA/FAS managed acquisition vehicles such as Multiple Award Schedules, Government-wide Acquisition Contracts and Multiple Award Contracts along with the current 889 Part B FAR clause 52.203-25 (AUG 2020) modification status (Accepted, Declined, Waiver Approved, or Pending).</w:t>
            </w:r>
          </w:p>
        </w:tc>
      </w:tr>
      <w:tr w:rsidR="004576F3" w:rsidRPr="00961CBE" w14:paraId="640EACCA" w14:textId="77777777" w:rsidTr="004C4EDB">
        <w:trPr>
          <w:trHeight w:val="440"/>
        </w:trPr>
        <w:tc>
          <w:tcPr>
            <w:tcW w:w="1252" w:type="dxa"/>
          </w:tcPr>
          <w:p w14:paraId="7938F550" w14:textId="77777777" w:rsidR="004576F3" w:rsidRPr="00961CBE" w:rsidRDefault="004576F3" w:rsidP="004C4EDB">
            <w:pPr>
              <w:rPr>
                <w:rFonts w:ascii="Arial" w:hAnsi="Arial" w:cs="Arial"/>
                <w:sz w:val="24"/>
                <w:szCs w:val="24"/>
              </w:rPr>
            </w:pPr>
            <w:r>
              <w:rPr>
                <w:rFonts w:ascii="Arial" w:hAnsi="Arial" w:cs="Arial"/>
                <w:sz w:val="24"/>
                <w:szCs w:val="24"/>
              </w:rPr>
              <w:t>20-74</w:t>
            </w:r>
          </w:p>
        </w:tc>
        <w:tc>
          <w:tcPr>
            <w:tcW w:w="3474" w:type="dxa"/>
          </w:tcPr>
          <w:p w14:paraId="1927EA43" w14:textId="77777777" w:rsidR="004576F3" w:rsidRPr="00E873A1" w:rsidRDefault="004576F3" w:rsidP="004C4EDB">
            <w:pPr>
              <w:spacing w:after="200"/>
              <w:rPr>
                <w:rFonts w:ascii="Arial" w:hAnsi="Arial" w:cs="Arial"/>
                <w:spacing w:val="-5"/>
                <w:sz w:val="24"/>
                <w:szCs w:val="24"/>
              </w:rPr>
            </w:pPr>
            <w:r w:rsidRPr="00E873A1">
              <w:rPr>
                <w:rFonts w:ascii="Arial" w:hAnsi="Arial" w:cs="Arial"/>
                <w:spacing w:val="-5"/>
                <w:sz w:val="24"/>
                <w:szCs w:val="24"/>
              </w:rPr>
              <w:t>Resolving FY 2015 Canceling Year Lines</w:t>
            </w:r>
          </w:p>
        </w:tc>
        <w:tc>
          <w:tcPr>
            <w:tcW w:w="1656" w:type="dxa"/>
          </w:tcPr>
          <w:p w14:paraId="2B52CAE8"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8/31/2020</w:t>
            </w:r>
          </w:p>
        </w:tc>
        <w:tc>
          <w:tcPr>
            <w:tcW w:w="4140" w:type="dxa"/>
          </w:tcPr>
          <w:p w14:paraId="223EF376"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an appropriation’s period of availability for incurring new obligations</w:t>
            </w:r>
          </w:p>
        </w:tc>
      </w:tr>
      <w:tr w:rsidR="004576F3" w14:paraId="377B612C" w14:textId="77777777" w:rsidTr="004C4EDB">
        <w:trPr>
          <w:trHeight w:val="440"/>
        </w:trPr>
        <w:tc>
          <w:tcPr>
            <w:tcW w:w="1252" w:type="dxa"/>
          </w:tcPr>
          <w:p w14:paraId="2207A0B2" w14:textId="77777777" w:rsidR="004576F3" w:rsidRDefault="004576F3" w:rsidP="004C4EDB">
            <w:pPr>
              <w:rPr>
                <w:rFonts w:ascii="Arial" w:hAnsi="Arial" w:cs="Arial"/>
                <w:sz w:val="24"/>
                <w:szCs w:val="24"/>
              </w:rPr>
            </w:pPr>
            <w:r>
              <w:rPr>
                <w:rFonts w:ascii="Arial" w:hAnsi="Arial" w:cs="Arial"/>
                <w:sz w:val="24"/>
                <w:szCs w:val="24"/>
              </w:rPr>
              <w:lastRenderedPageBreak/>
              <w:t>20-75</w:t>
            </w:r>
          </w:p>
        </w:tc>
        <w:tc>
          <w:tcPr>
            <w:tcW w:w="3474" w:type="dxa"/>
          </w:tcPr>
          <w:p w14:paraId="19AC81F1"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 xml:space="preserve">Inaccurate Data in the Federal Procurement Data System (FPDS) Unresolved </w:t>
            </w:r>
            <w:proofErr w:type="spellStart"/>
            <w:r w:rsidRPr="00E873A1">
              <w:rPr>
                <w:rFonts w:ascii="Arial" w:hAnsi="Arial" w:cs="Arial"/>
                <w:spacing w:val="-5"/>
                <w:sz w:val="24"/>
                <w:szCs w:val="24"/>
              </w:rPr>
              <w:t>FedDataCheck</w:t>
            </w:r>
            <w:proofErr w:type="spellEnd"/>
            <w:r w:rsidRPr="00E873A1">
              <w:rPr>
                <w:rFonts w:ascii="Arial" w:hAnsi="Arial" w:cs="Arial"/>
                <w:spacing w:val="-5"/>
                <w:sz w:val="24"/>
                <w:szCs w:val="24"/>
              </w:rPr>
              <w:t xml:space="preserve"> Alerts [1,845 Actions]</w:t>
            </w:r>
          </w:p>
        </w:tc>
        <w:tc>
          <w:tcPr>
            <w:tcW w:w="1656" w:type="dxa"/>
          </w:tcPr>
          <w:p w14:paraId="0A01B3A6"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9/3/2020</w:t>
            </w:r>
          </w:p>
        </w:tc>
        <w:tc>
          <w:tcPr>
            <w:tcW w:w="4140" w:type="dxa"/>
          </w:tcPr>
          <w:p w14:paraId="7E55AA83"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As of September 3, 2020, NIH has 1,845 unresolved FDC errors on actions reported to FPDS for FY20</w:t>
            </w:r>
          </w:p>
        </w:tc>
      </w:tr>
      <w:tr w:rsidR="004576F3" w14:paraId="50DF4636" w14:textId="77777777" w:rsidTr="004C4EDB">
        <w:trPr>
          <w:trHeight w:val="440"/>
        </w:trPr>
        <w:tc>
          <w:tcPr>
            <w:tcW w:w="1252" w:type="dxa"/>
          </w:tcPr>
          <w:p w14:paraId="134B98F3" w14:textId="77777777" w:rsidR="004576F3" w:rsidRDefault="004576F3" w:rsidP="004C4EDB">
            <w:pPr>
              <w:rPr>
                <w:rFonts w:ascii="Arial" w:hAnsi="Arial" w:cs="Arial"/>
                <w:sz w:val="24"/>
                <w:szCs w:val="24"/>
              </w:rPr>
            </w:pPr>
            <w:r>
              <w:rPr>
                <w:rFonts w:ascii="Arial" w:hAnsi="Arial" w:cs="Arial"/>
                <w:sz w:val="24"/>
                <w:szCs w:val="24"/>
              </w:rPr>
              <w:t>20-75.1</w:t>
            </w:r>
          </w:p>
        </w:tc>
        <w:tc>
          <w:tcPr>
            <w:tcW w:w="3474" w:type="dxa"/>
          </w:tcPr>
          <w:p w14:paraId="56374C16" w14:textId="77777777" w:rsidR="004576F3" w:rsidRDefault="004576F3" w:rsidP="004C4EDB">
            <w:pPr>
              <w:rPr>
                <w:rFonts w:ascii="Arial" w:hAnsi="Arial" w:cs="Arial"/>
                <w:sz w:val="24"/>
                <w:szCs w:val="24"/>
              </w:rPr>
            </w:pPr>
            <w:r w:rsidRPr="00E873A1">
              <w:rPr>
                <w:rFonts w:ascii="Arial" w:hAnsi="Arial" w:cs="Arial"/>
                <w:spacing w:val="-5"/>
                <w:sz w:val="24"/>
                <w:szCs w:val="24"/>
              </w:rPr>
              <w:t xml:space="preserve">Inaccurate Data in the Federal Procurement Data System (FPDS) Unresolved </w:t>
            </w:r>
            <w:proofErr w:type="spellStart"/>
            <w:r w:rsidRPr="00E873A1">
              <w:rPr>
                <w:rFonts w:ascii="Arial" w:hAnsi="Arial" w:cs="Arial"/>
                <w:spacing w:val="-5"/>
                <w:sz w:val="24"/>
                <w:szCs w:val="24"/>
              </w:rPr>
              <w:t>FedDataCheck</w:t>
            </w:r>
            <w:proofErr w:type="spellEnd"/>
            <w:r w:rsidRPr="00E873A1">
              <w:rPr>
                <w:rFonts w:ascii="Arial" w:hAnsi="Arial" w:cs="Arial"/>
                <w:spacing w:val="-5"/>
                <w:sz w:val="24"/>
                <w:szCs w:val="24"/>
              </w:rPr>
              <w:t xml:space="preserve"> Alerts [1,845 Actions]</w:t>
            </w:r>
          </w:p>
        </w:tc>
        <w:tc>
          <w:tcPr>
            <w:tcW w:w="1656" w:type="dxa"/>
          </w:tcPr>
          <w:p w14:paraId="226ECF78" w14:textId="77777777" w:rsidR="004576F3" w:rsidRDefault="004576F3" w:rsidP="004C4EDB">
            <w:pPr>
              <w:rPr>
                <w:rFonts w:ascii="Arial" w:hAnsi="Arial" w:cs="Arial"/>
                <w:sz w:val="24"/>
                <w:szCs w:val="24"/>
              </w:rPr>
            </w:pPr>
            <w:r>
              <w:rPr>
                <w:rFonts w:ascii="Arial" w:hAnsi="Arial" w:cs="Arial"/>
                <w:sz w:val="24"/>
                <w:szCs w:val="24"/>
              </w:rPr>
              <w:t>9/4/2020</w:t>
            </w:r>
          </w:p>
        </w:tc>
        <w:tc>
          <w:tcPr>
            <w:tcW w:w="4140" w:type="dxa"/>
          </w:tcPr>
          <w:p w14:paraId="101A0284" w14:textId="77777777" w:rsidR="004576F3" w:rsidRDefault="004576F3" w:rsidP="004C4EDB">
            <w:pPr>
              <w:rPr>
                <w:rFonts w:ascii="Arial" w:hAnsi="Arial" w:cs="Arial"/>
                <w:sz w:val="24"/>
                <w:szCs w:val="24"/>
              </w:rPr>
            </w:pPr>
            <w:r w:rsidRPr="00E873A1">
              <w:rPr>
                <w:rFonts w:ascii="Arial" w:hAnsi="Arial" w:cs="Arial"/>
                <w:spacing w:val="-5"/>
                <w:sz w:val="24"/>
                <w:szCs w:val="24"/>
              </w:rPr>
              <w:t xml:space="preserve">This communication is to provide the correct list of unresolved </w:t>
            </w:r>
            <w:proofErr w:type="spellStart"/>
            <w:r w:rsidRPr="00E873A1">
              <w:rPr>
                <w:rFonts w:ascii="Arial" w:hAnsi="Arial" w:cs="Arial"/>
                <w:spacing w:val="-5"/>
                <w:sz w:val="24"/>
                <w:szCs w:val="24"/>
              </w:rPr>
              <w:t>FedData</w:t>
            </w:r>
            <w:proofErr w:type="spellEnd"/>
            <w:r w:rsidRPr="00E873A1">
              <w:rPr>
                <w:rFonts w:ascii="Arial" w:hAnsi="Arial" w:cs="Arial"/>
                <w:spacing w:val="-5"/>
                <w:sz w:val="24"/>
                <w:szCs w:val="24"/>
              </w:rPr>
              <w:t xml:space="preserve"> Check Alerts as of September 3, 2020</w:t>
            </w:r>
          </w:p>
        </w:tc>
      </w:tr>
      <w:tr w:rsidR="004576F3" w14:paraId="3F7BBEE2" w14:textId="77777777" w:rsidTr="004C4EDB">
        <w:trPr>
          <w:trHeight w:val="440"/>
        </w:trPr>
        <w:tc>
          <w:tcPr>
            <w:tcW w:w="1252" w:type="dxa"/>
          </w:tcPr>
          <w:p w14:paraId="209571AB" w14:textId="77777777" w:rsidR="004576F3" w:rsidRDefault="004576F3" w:rsidP="004C4EDB">
            <w:pPr>
              <w:rPr>
                <w:rFonts w:ascii="Arial" w:hAnsi="Arial" w:cs="Arial"/>
                <w:sz w:val="24"/>
                <w:szCs w:val="24"/>
              </w:rPr>
            </w:pPr>
            <w:r>
              <w:rPr>
                <w:rFonts w:ascii="Arial" w:hAnsi="Arial" w:cs="Arial"/>
                <w:sz w:val="24"/>
                <w:szCs w:val="24"/>
              </w:rPr>
              <w:t>20-76</w:t>
            </w:r>
          </w:p>
        </w:tc>
        <w:tc>
          <w:tcPr>
            <w:tcW w:w="3474" w:type="dxa"/>
          </w:tcPr>
          <w:p w14:paraId="20365DC0"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Resolving FY 2015 Canceling Year Lines</w:t>
            </w:r>
          </w:p>
        </w:tc>
        <w:tc>
          <w:tcPr>
            <w:tcW w:w="1656" w:type="dxa"/>
          </w:tcPr>
          <w:p w14:paraId="60B7642B"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9/8/2020</w:t>
            </w:r>
          </w:p>
        </w:tc>
        <w:tc>
          <w:tcPr>
            <w:tcW w:w="4140" w:type="dxa"/>
          </w:tcPr>
          <w:p w14:paraId="768AA228"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Certain appropriations are available for obligation for a specific period, i.e., annual and multi-year appropriations. Both the obligated and unobligated balances of such appropriations must be cancelled and shall no longer be available for obligation or expenditure for any purpose, on September 30th of the fifth fiscal year after the expiration of an appropriation’s period of availability for incurring new obligations</w:t>
            </w:r>
          </w:p>
        </w:tc>
      </w:tr>
      <w:tr w:rsidR="004576F3" w14:paraId="1D672F12" w14:textId="77777777" w:rsidTr="004C4EDB">
        <w:trPr>
          <w:trHeight w:val="440"/>
        </w:trPr>
        <w:tc>
          <w:tcPr>
            <w:tcW w:w="1252" w:type="dxa"/>
          </w:tcPr>
          <w:p w14:paraId="0956C2BD"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20-77</w:t>
            </w:r>
          </w:p>
        </w:tc>
        <w:tc>
          <w:tcPr>
            <w:tcW w:w="3474" w:type="dxa"/>
          </w:tcPr>
          <w:p w14:paraId="60798FF2"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Upcoming System Downtime – Beta.SAM.gov</w:t>
            </w:r>
          </w:p>
        </w:tc>
        <w:tc>
          <w:tcPr>
            <w:tcW w:w="1656" w:type="dxa"/>
          </w:tcPr>
          <w:p w14:paraId="3294151A"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9/15/2020</w:t>
            </w:r>
          </w:p>
        </w:tc>
        <w:tc>
          <w:tcPr>
            <w:tcW w:w="4140" w:type="dxa"/>
          </w:tcPr>
          <w:p w14:paraId="75FA4648" w14:textId="77777777" w:rsidR="004576F3" w:rsidRPr="00E873A1" w:rsidRDefault="004576F3" w:rsidP="004C4EDB">
            <w:pPr>
              <w:rPr>
                <w:rFonts w:ascii="Arial" w:hAnsi="Arial" w:cs="Arial"/>
                <w:spacing w:val="-5"/>
                <w:sz w:val="24"/>
                <w:szCs w:val="24"/>
              </w:rPr>
            </w:pPr>
            <w:r w:rsidRPr="00E873A1">
              <w:rPr>
                <w:rFonts w:ascii="Arial" w:hAnsi="Arial" w:cs="Arial"/>
                <w:spacing w:val="-5"/>
                <w:sz w:val="24"/>
                <w:szCs w:val="24"/>
              </w:rPr>
              <w:t xml:space="preserve">Check out the </w:t>
            </w:r>
            <w:hyperlink r:id="rId61" w:history="1">
              <w:r w:rsidRPr="00E873A1">
                <w:rPr>
                  <w:rFonts w:ascii="Arial" w:hAnsi="Arial" w:cs="Arial"/>
                  <w:spacing w:val="-5"/>
                </w:rPr>
                <w:t>CDMP SharePoint Site</w:t>
              </w:r>
            </w:hyperlink>
            <w:r w:rsidRPr="00E873A1">
              <w:rPr>
                <w:rFonts w:ascii="Arial" w:hAnsi="Arial" w:cs="Arial"/>
                <w:spacing w:val="-5"/>
                <w:sz w:val="24"/>
                <w:szCs w:val="24"/>
              </w:rPr>
              <w:t xml:space="preserve"> for information regarding </w:t>
            </w:r>
            <w:proofErr w:type="spellStart"/>
            <w:r w:rsidRPr="00E873A1">
              <w:rPr>
                <w:rFonts w:ascii="Arial" w:hAnsi="Arial" w:cs="Arial"/>
                <w:spacing w:val="-5"/>
                <w:sz w:val="24"/>
                <w:szCs w:val="24"/>
              </w:rPr>
              <w:t>FedDataCheck</w:t>
            </w:r>
            <w:proofErr w:type="spellEnd"/>
            <w:r w:rsidRPr="00E873A1">
              <w:rPr>
                <w:rFonts w:ascii="Arial" w:hAnsi="Arial" w:cs="Arial"/>
                <w:spacing w:val="-5"/>
                <w:sz w:val="24"/>
                <w:szCs w:val="24"/>
              </w:rPr>
              <w:t xml:space="preserve"> Resolutions, OALM Communications, Solar Charts, Section 508, CPARS, and NBS User Account Request for Buyer-Contract and Global Receivers</w:t>
            </w:r>
          </w:p>
        </w:tc>
      </w:tr>
      <w:tr w:rsidR="004576F3" w14:paraId="02EF2127" w14:textId="77777777" w:rsidTr="004C4EDB">
        <w:trPr>
          <w:trHeight w:val="440"/>
        </w:trPr>
        <w:tc>
          <w:tcPr>
            <w:tcW w:w="1252" w:type="dxa"/>
          </w:tcPr>
          <w:p w14:paraId="1A858335" w14:textId="77777777" w:rsidR="004576F3" w:rsidRDefault="004576F3" w:rsidP="004C4EDB">
            <w:pPr>
              <w:rPr>
                <w:rFonts w:ascii="Arial" w:hAnsi="Arial" w:cs="Arial"/>
                <w:sz w:val="24"/>
                <w:szCs w:val="24"/>
              </w:rPr>
            </w:pPr>
            <w:r>
              <w:rPr>
                <w:rFonts w:ascii="Arial" w:hAnsi="Arial" w:cs="Arial"/>
                <w:sz w:val="24"/>
                <w:szCs w:val="24"/>
              </w:rPr>
              <w:t>20-78</w:t>
            </w:r>
          </w:p>
        </w:tc>
        <w:tc>
          <w:tcPr>
            <w:tcW w:w="3474" w:type="dxa"/>
          </w:tcPr>
          <w:p w14:paraId="0F074E8A"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FPDS Scheduled Maintenance</w:t>
            </w:r>
          </w:p>
        </w:tc>
        <w:tc>
          <w:tcPr>
            <w:tcW w:w="1656" w:type="dxa"/>
          </w:tcPr>
          <w:p w14:paraId="265CC626"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9/19/2020</w:t>
            </w:r>
          </w:p>
        </w:tc>
        <w:tc>
          <w:tcPr>
            <w:tcW w:w="4140" w:type="dxa"/>
          </w:tcPr>
          <w:p w14:paraId="502A5441"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 xml:space="preserve">FPDS will be down for scheduled maintenance on Saturday, September 19, 2020, from 8:00, AM, until approximately 3:00 PM (EDT).  As a result, buyers will not be able to report contract actions to FPDS during this time. </w:t>
            </w:r>
          </w:p>
        </w:tc>
      </w:tr>
      <w:tr w:rsidR="004576F3" w14:paraId="068668B9" w14:textId="77777777" w:rsidTr="004C4EDB">
        <w:trPr>
          <w:trHeight w:val="440"/>
        </w:trPr>
        <w:tc>
          <w:tcPr>
            <w:tcW w:w="1252" w:type="dxa"/>
          </w:tcPr>
          <w:p w14:paraId="2AD778FC" w14:textId="77777777" w:rsidR="004576F3" w:rsidRDefault="004576F3" w:rsidP="004C4EDB">
            <w:pPr>
              <w:rPr>
                <w:rFonts w:ascii="Arial" w:hAnsi="Arial" w:cs="Arial"/>
                <w:sz w:val="24"/>
                <w:szCs w:val="24"/>
              </w:rPr>
            </w:pPr>
            <w:r>
              <w:rPr>
                <w:rFonts w:ascii="Arial" w:hAnsi="Arial" w:cs="Arial"/>
                <w:sz w:val="24"/>
                <w:szCs w:val="24"/>
              </w:rPr>
              <w:t>20-79</w:t>
            </w:r>
          </w:p>
        </w:tc>
        <w:tc>
          <w:tcPr>
            <w:tcW w:w="3474" w:type="dxa"/>
          </w:tcPr>
          <w:p w14:paraId="27492EA6"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FPDS ALERT – SET PIID – Contract Number Not Found – Error Message</w:t>
            </w:r>
          </w:p>
        </w:tc>
        <w:tc>
          <w:tcPr>
            <w:tcW w:w="1656" w:type="dxa"/>
          </w:tcPr>
          <w:p w14:paraId="3D8F4B48"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9/18/2020</w:t>
            </w:r>
          </w:p>
        </w:tc>
        <w:tc>
          <w:tcPr>
            <w:tcW w:w="4140" w:type="dxa"/>
          </w:tcPr>
          <w:p w14:paraId="3D47CCBE"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When creating an External Delivery/Task Order in PRISM, the Contract Number Agency ID defaults to 7529</w:t>
            </w:r>
          </w:p>
        </w:tc>
      </w:tr>
      <w:tr w:rsidR="004576F3" w14:paraId="55F5DF2A" w14:textId="77777777" w:rsidTr="004C4EDB">
        <w:trPr>
          <w:trHeight w:val="440"/>
        </w:trPr>
        <w:tc>
          <w:tcPr>
            <w:tcW w:w="1252" w:type="dxa"/>
          </w:tcPr>
          <w:p w14:paraId="6D6C308F" w14:textId="77777777" w:rsidR="004576F3" w:rsidRDefault="004576F3" w:rsidP="004C4EDB">
            <w:pPr>
              <w:rPr>
                <w:rFonts w:ascii="Arial" w:hAnsi="Arial" w:cs="Arial"/>
                <w:sz w:val="24"/>
                <w:szCs w:val="24"/>
              </w:rPr>
            </w:pPr>
            <w:r>
              <w:rPr>
                <w:rFonts w:ascii="Arial" w:hAnsi="Arial" w:cs="Arial"/>
                <w:sz w:val="24"/>
                <w:szCs w:val="24"/>
              </w:rPr>
              <w:t>20-80</w:t>
            </w:r>
          </w:p>
        </w:tc>
        <w:tc>
          <w:tcPr>
            <w:tcW w:w="3474" w:type="dxa"/>
          </w:tcPr>
          <w:p w14:paraId="6A8FD65B"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 xml:space="preserve">FPDS Alert – </w:t>
            </w:r>
            <w:proofErr w:type="spellStart"/>
            <w:r w:rsidRPr="005E10C1">
              <w:rPr>
                <w:rFonts w:ascii="Arial" w:hAnsi="Arial" w:cs="Arial"/>
                <w:spacing w:val="-5"/>
                <w:sz w:val="24"/>
                <w:szCs w:val="24"/>
              </w:rPr>
              <w:t>FedData</w:t>
            </w:r>
            <w:proofErr w:type="spellEnd"/>
            <w:r w:rsidRPr="005E10C1">
              <w:rPr>
                <w:rFonts w:ascii="Arial" w:hAnsi="Arial" w:cs="Arial"/>
                <w:spacing w:val="-5"/>
                <w:sz w:val="24"/>
                <w:szCs w:val="24"/>
              </w:rPr>
              <w:t xml:space="preserve"> Check Email Notifications Get You Down?</w:t>
            </w:r>
          </w:p>
        </w:tc>
        <w:tc>
          <w:tcPr>
            <w:tcW w:w="1656" w:type="dxa"/>
          </w:tcPr>
          <w:p w14:paraId="2B1F5D5E"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10/7/2020</w:t>
            </w:r>
          </w:p>
        </w:tc>
        <w:tc>
          <w:tcPr>
            <w:tcW w:w="4140" w:type="dxa"/>
          </w:tcPr>
          <w:p w14:paraId="6D4D9FBC"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 xml:space="preserve">Are you tired of receiving email notifications from </w:t>
            </w:r>
            <w:hyperlink r:id="rId62" w:history="1">
              <w:r w:rsidRPr="00FC4ECD">
                <w:rPr>
                  <w:rStyle w:val="Hyperlink"/>
                  <w:rFonts w:ascii="Arial" w:hAnsi="Arial" w:cs="Arial"/>
                  <w:spacing w:val="-5"/>
                  <w:sz w:val="24"/>
                  <w:szCs w:val="24"/>
                </w:rPr>
                <w:t>Alerts@feddatacheck.net</w:t>
              </w:r>
            </w:hyperlink>
            <w:r>
              <w:rPr>
                <w:rFonts w:ascii="Arial" w:hAnsi="Arial" w:cs="Arial"/>
                <w:spacing w:val="-5"/>
                <w:sz w:val="24"/>
                <w:szCs w:val="24"/>
              </w:rPr>
              <w:t xml:space="preserve">? </w:t>
            </w:r>
          </w:p>
        </w:tc>
      </w:tr>
      <w:tr w:rsidR="004576F3" w14:paraId="36788C45" w14:textId="77777777" w:rsidTr="004C4EDB">
        <w:trPr>
          <w:trHeight w:val="440"/>
        </w:trPr>
        <w:tc>
          <w:tcPr>
            <w:tcW w:w="1252" w:type="dxa"/>
          </w:tcPr>
          <w:p w14:paraId="547F2F70" w14:textId="77777777" w:rsidR="004576F3" w:rsidRDefault="004576F3" w:rsidP="004C4EDB">
            <w:pPr>
              <w:rPr>
                <w:rFonts w:ascii="Arial" w:hAnsi="Arial" w:cs="Arial"/>
                <w:sz w:val="24"/>
                <w:szCs w:val="24"/>
              </w:rPr>
            </w:pPr>
            <w:r>
              <w:rPr>
                <w:rFonts w:ascii="Arial" w:hAnsi="Arial" w:cs="Arial"/>
                <w:sz w:val="24"/>
                <w:szCs w:val="24"/>
              </w:rPr>
              <w:t>21-01</w:t>
            </w:r>
          </w:p>
        </w:tc>
        <w:tc>
          <w:tcPr>
            <w:tcW w:w="3474" w:type="dxa"/>
          </w:tcPr>
          <w:p w14:paraId="2E4BCC15"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 xml:space="preserve">FPDS Alert – </w:t>
            </w:r>
            <w:proofErr w:type="spellStart"/>
            <w:r w:rsidRPr="005E10C1">
              <w:rPr>
                <w:rFonts w:ascii="Arial" w:hAnsi="Arial" w:cs="Arial"/>
                <w:spacing w:val="-5"/>
                <w:sz w:val="24"/>
                <w:szCs w:val="24"/>
              </w:rPr>
              <w:t>FedData</w:t>
            </w:r>
            <w:proofErr w:type="spellEnd"/>
            <w:r w:rsidRPr="005E10C1">
              <w:rPr>
                <w:rFonts w:ascii="Arial" w:hAnsi="Arial" w:cs="Arial"/>
                <w:spacing w:val="-5"/>
                <w:sz w:val="24"/>
                <w:szCs w:val="24"/>
              </w:rPr>
              <w:t xml:space="preserve"> Check Email Notifications Get You Down?</w:t>
            </w:r>
          </w:p>
        </w:tc>
        <w:tc>
          <w:tcPr>
            <w:tcW w:w="1656" w:type="dxa"/>
          </w:tcPr>
          <w:p w14:paraId="2CE106CA"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10/21/2020</w:t>
            </w:r>
          </w:p>
        </w:tc>
        <w:tc>
          <w:tcPr>
            <w:tcW w:w="4140" w:type="dxa"/>
          </w:tcPr>
          <w:p w14:paraId="4FCE3FF5" w14:textId="77777777" w:rsidR="004576F3" w:rsidRDefault="004576F3" w:rsidP="004C4EDB">
            <w:pPr>
              <w:rPr>
                <w:rFonts w:ascii="Arial" w:hAnsi="Arial" w:cs="Arial"/>
                <w:sz w:val="24"/>
                <w:szCs w:val="24"/>
              </w:rPr>
            </w:pPr>
            <w:r w:rsidRPr="005E10C1">
              <w:rPr>
                <w:rFonts w:ascii="Arial" w:hAnsi="Arial" w:cs="Arial"/>
                <w:spacing w:val="-5"/>
                <w:sz w:val="24"/>
                <w:szCs w:val="24"/>
              </w:rPr>
              <w:t xml:space="preserve">Are you tired of receiving email notifications from </w:t>
            </w:r>
            <w:hyperlink r:id="rId63" w:history="1">
              <w:r w:rsidRPr="00FC4ECD">
                <w:rPr>
                  <w:rStyle w:val="Hyperlink"/>
                  <w:rFonts w:ascii="Arial" w:hAnsi="Arial" w:cs="Arial"/>
                  <w:spacing w:val="-5"/>
                  <w:sz w:val="24"/>
                  <w:szCs w:val="24"/>
                </w:rPr>
                <w:t>Alerts@feddatacheck.net</w:t>
              </w:r>
            </w:hyperlink>
            <w:r>
              <w:rPr>
                <w:rFonts w:ascii="Arial" w:hAnsi="Arial" w:cs="Arial"/>
                <w:spacing w:val="-5"/>
                <w:sz w:val="24"/>
                <w:szCs w:val="24"/>
              </w:rPr>
              <w:t>?</w:t>
            </w:r>
          </w:p>
        </w:tc>
      </w:tr>
      <w:tr w:rsidR="004576F3" w:rsidRPr="00961CBE" w14:paraId="06FB077A" w14:textId="77777777" w:rsidTr="004C4EDB">
        <w:trPr>
          <w:trHeight w:val="440"/>
        </w:trPr>
        <w:tc>
          <w:tcPr>
            <w:tcW w:w="1252" w:type="dxa"/>
          </w:tcPr>
          <w:p w14:paraId="49AA0CFB"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21-02</w:t>
            </w:r>
          </w:p>
        </w:tc>
        <w:tc>
          <w:tcPr>
            <w:tcW w:w="3474" w:type="dxa"/>
          </w:tcPr>
          <w:p w14:paraId="1BC0D1D4"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Coming Soon -- New Product Service Code Manual</w:t>
            </w:r>
          </w:p>
        </w:tc>
        <w:tc>
          <w:tcPr>
            <w:tcW w:w="1656" w:type="dxa"/>
          </w:tcPr>
          <w:p w14:paraId="4F3E60EC"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10/24/2020</w:t>
            </w:r>
          </w:p>
        </w:tc>
        <w:tc>
          <w:tcPr>
            <w:tcW w:w="4140" w:type="dxa"/>
          </w:tcPr>
          <w:p w14:paraId="27190C56"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On October 24, 2020, GSA’s Integrated Award Environment (IAE) will incorporate additions and revisions to Product Service Codes (PSCs)</w:t>
            </w:r>
          </w:p>
        </w:tc>
      </w:tr>
      <w:tr w:rsidR="004576F3" w:rsidRPr="00961CBE" w14:paraId="26962700" w14:textId="77777777" w:rsidTr="004C4EDB">
        <w:trPr>
          <w:trHeight w:val="440"/>
        </w:trPr>
        <w:tc>
          <w:tcPr>
            <w:tcW w:w="1252" w:type="dxa"/>
          </w:tcPr>
          <w:p w14:paraId="675A8AB1"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lastRenderedPageBreak/>
              <w:t>21-03</w:t>
            </w:r>
          </w:p>
        </w:tc>
        <w:tc>
          <w:tcPr>
            <w:tcW w:w="3474" w:type="dxa"/>
          </w:tcPr>
          <w:p w14:paraId="17878B0F"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FPDS Scheduled Maintenance</w:t>
            </w:r>
          </w:p>
        </w:tc>
        <w:tc>
          <w:tcPr>
            <w:tcW w:w="1656" w:type="dxa"/>
          </w:tcPr>
          <w:p w14:paraId="45EE815C"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10/17/2020</w:t>
            </w:r>
          </w:p>
        </w:tc>
        <w:tc>
          <w:tcPr>
            <w:tcW w:w="4140" w:type="dxa"/>
          </w:tcPr>
          <w:p w14:paraId="69E58820" w14:textId="77777777" w:rsidR="004576F3" w:rsidRPr="005E10C1" w:rsidRDefault="004576F3" w:rsidP="004C4EDB">
            <w:pPr>
              <w:rPr>
                <w:rFonts w:ascii="Arial" w:hAnsi="Arial" w:cs="Arial"/>
                <w:spacing w:val="-5"/>
                <w:sz w:val="24"/>
                <w:szCs w:val="24"/>
              </w:rPr>
            </w:pPr>
            <w:r w:rsidRPr="005E10C1">
              <w:rPr>
                <w:rFonts w:ascii="Arial" w:hAnsi="Arial" w:cs="Arial"/>
                <w:spacing w:val="-5"/>
                <w:sz w:val="24"/>
                <w:szCs w:val="24"/>
              </w:rPr>
              <w:t xml:space="preserve">FPDS will be down for scheduled maintenance on Saturday, October 17, 2020, from 8:00 AM, until approximately 3:00 PM (EDT).  As a result, buyers will not be able to report contract actions to FPDS during this time. </w:t>
            </w:r>
          </w:p>
          <w:p w14:paraId="25A42E6F" w14:textId="77777777" w:rsidR="004576F3" w:rsidRPr="005E10C1" w:rsidRDefault="004576F3" w:rsidP="004C4EDB">
            <w:pPr>
              <w:rPr>
                <w:rFonts w:ascii="Arial" w:hAnsi="Arial" w:cs="Arial"/>
                <w:spacing w:val="-5"/>
                <w:sz w:val="24"/>
                <w:szCs w:val="24"/>
              </w:rPr>
            </w:pPr>
          </w:p>
        </w:tc>
      </w:tr>
      <w:tr w:rsidR="004576F3" w:rsidRPr="00961CBE" w14:paraId="02464CD5" w14:textId="77777777" w:rsidTr="004C4EDB">
        <w:trPr>
          <w:trHeight w:val="440"/>
        </w:trPr>
        <w:tc>
          <w:tcPr>
            <w:tcW w:w="1252" w:type="dxa"/>
          </w:tcPr>
          <w:p w14:paraId="6962FA32" w14:textId="77777777" w:rsidR="004576F3" w:rsidRPr="00961CBE" w:rsidRDefault="004576F3" w:rsidP="004C4EDB">
            <w:pPr>
              <w:rPr>
                <w:rFonts w:ascii="Arial" w:hAnsi="Arial" w:cs="Arial"/>
                <w:sz w:val="24"/>
                <w:szCs w:val="24"/>
              </w:rPr>
            </w:pPr>
            <w:r>
              <w:rPr>
                <w:rFonts w:ascii="Arial" w:hAnsi="Arial" w:cs="Arial"/>
                <w:sz w:val="24"/>
                <w:szCs w:val="24"/>
              </w:rPr>
              <w:t>21-04</w:t>
            </w:r>
          </w:p>
        </w:tc>
        <w:tc>
          <w:tcPr>
            <w:tcW w:w="3474" w:type="dxa"/>
          </w:tcPr>
          <w:p w14:paraId="15255025" w14:textId="77777777" w:rsidR="004576F3" w:rsidRPr="00961CBE" w:rsidRDefault="004576F3" w:rsidP="004C4EDB">
            <w:pPr>
              <w:rPr>
                <w:rFonts w:ascii="Arial" w:hAnsi="Arial" w:cs="Arial"/>
                <w:sz w:val="24"/>
                <w:szCs w:val="24"/>
              </w:rPr>
            </w:pPr>
            <w:r>
              <w:rPr>
                <w:rFonts w:ascii="Arial" w:hAnsi="Arial" w:cs="Arial"/>
                <w:sz w:val="24"/>
                <w:szCs w:val="24"/>
              </w:rPr>
              <w:t xml:space="preserve">Reminder – </w:t>
            </w:r>
            <w:proofErr w:type="spellStart"/>
            <w:r>
              <w:rPr>
                <w:rFonts w:ascii="Arial" w:hAnsi="Arial" w:cs="Arial"/>
                <w:sz w:val="24"/>
                <w:szCs w:val="24"/>
              </w:rPr>
              <w:t>FedDataCheck</w:t>
            </w:r>
            <w:proofErr w:type="spellEnd"/>
            <w:r>
              <w:rPr>
                <w:rFonts w:ascii="Arial" w:hAnsi="Arial" w:cs="Arial"/>
                <w:sz w:val="24"/>
                <w:szCs w:val="24"/>
              </w:rPr>
              <w:t xml:space="preserve"> (FDC) Training for NIH Acquisition Staff</w:t>
            </w:r>
          </w:p>
        </w:tc>
        <w:tc>
          <w:tcPr>
            <w:tcW w:w="1656" w:type="dxa"/>
          </w:tcPr>
          <w:p w14:paraId="53805835" w14:textId="77777777" w:rsidR="004576F3" w:rsidRPr="00961CBE" w:rsidRDefault="004576F3" w:rsidP="004C4EDB">
            <w:pPr>
              <w:rPr>
                <w:rFonts w:ascii="Arial" w:hAnsi="Arial" w:cs="Arial"/>
                <w:sz w:val="24"/>
                <w:szCs w:val="24"/>
              </w:rPr>
            </w:pPr>
            <w:r>
              <w:rPr>
                <w:rFonts w:ascii="Arial" w:hAnsi="Arial" w:cs="Arial"/>
                <w:sz w:val="24"/>
                <w:szCs w:val="24"/>
              </w:rPr>
              <w:t>10/21/2020</w:t>
            </w:r>
          </w:p>
        </w:tc>
        <w:tc>
          <w:tcPr>
            <w:tcW w:w="4140" w:type="dxa"/>
          </w:tcPr>
          <w:p w14:paraId="7DC4CF01" w14:textId="77777777" w:rsidR="004576F3" w:rsidRPr="00961CBE" w:rsidRDefault="004576F3" w:rsidP="004C4EDB">
            <w:pPr>
              <w:rPr>
                <w:rFonts w:ascii="Arial" w:hAnsi="Arial" w:cs="Arial"/>
                <w:sz w:val="24"/>
                <w:szCs w:val="24"/>
              </w:rPr>
            </w:pPr>
            <w:r w:rsidRPr="005E10C1">
              <w:rPr>
                <w:rFonts w:ascii="Arial" w:hAnsi="Arial" w:cs="Arial"/>
                <w:spacing w:val="-5"/>
                <w:sz w:val="24"/>
                <w:szCs w:val="24"/>
              </w:rPr>
              <w:t xml:space="preserve">Are you tired of receiving email notifications from </w:t>
            </w:r>
            <w:hyperlink r:id="rId64" w:history="1">
              <w:r w:rsidRPr="00FC4ECD">
                <w:rPr>
                  <w:rStyle w:val="Hyperlink"/>
                  <w:rFonts w:ascii="Arial" w:hAnsi="Arial" w:cs="Arial"/>
                  <w:spacing w:val="-5"/>
                  <w:sz w:val="24"/>
                  <w:szCs w:val="24"/>
                </w:rPr>
                <w:t>Alerts@feddatacheck.net</w:t>
              </w:r>
            </w:hyperlink>
            <w:r>
              <w:rPr>
                <w:rFonts w:ascii="Arial" w:hAnsi="Arial" w:cs="Arial"/>
                <w:spacing w:val="-5"/>
                <w:sz w:val="24"/>
                <w:szCs w:val="24"/>
              </w:rPr>
              <w:t>?</w:t>
            </w:r>
          </w:p>
        </w:tc>
      </w:tr>
      <w:tr w:rsidR="004576F3" w14:paraId="050081B2" w14:textId="77777777" w:rsidTr="004C4EDB">
        <w:trPr>
          <w:trHeight w:val="440"/>
        </w:trPr>
        <w:tc>
          <w:tcPr>
            <w:tcW w:w="1252" w:type="dxa"/>
          </w:tcPr>
          <w:p w14:paraId="5DFE3768" w14:textId="77777777" w:rsidR="004576F3" w:rsidRDefault="004576F3" w:rsidP="004C4EDB">
            <w:pPr>
              <w:rPr>
                <w:rFonts w:ascii="Arial" w:hAnsi="Arial" w:cs="Arial"/>
                <w:sz w:val="24"/>
                <w:szCs w:val="24"/>
              </w:rPr>
            </w:pPr>
            <w:r>
              <w:rPr>
                <w:rFonts w:ascii="Arial" w:hAnsi="Arial" w:cs="Arial"/>
                <w:sz w:val="24"/>
                <w:szCs w:val="24"/>
              </w:rPr>
              <w:t>21-05</w:t>
            </w:r>
          </w:p>
        </w:tc>
        <w:tc>
          <w:tcPr>
            <w:tcW w:w="3474" w:type="dxa"/>
          </w:tcPr>
          <w:p w14:paraId="7CA07B2E" w14:textId="77777777" w:rsidR="004576F3" w:rsidRDefault="004576F3" w:rsidP="004C4EDB">
            <w:pPr>
              <w:rPr>
                <w:rFonts w:ascii="Arial" w:hAnsi="Arial" w:cs="Arial"/>
                <w:sz w:val="24"/>
                <w:szCs w:val="24"/>
              </w:rPr>
            </w:pPr>
            <w:r w:rsidRPr="005E10C1">
              <w:rPr>
                <w:rFonts w:ascii="Arial" w:hAnsi="Arial" w:cs="Arial"/>
                <w:sz w:val="24"/>
                <w:szCs w:val="24"/>
              </w:rPr>
              <w:t xml:space="preserve">Thank You for Attending the </w:t>
            </w:r>
            <w:proofErr w:type="spellStart"/>
            <w:r w:rsidRPr="005E10C1">
              <w:rPr>
                <w:rFonts w:ascii="Arial" w:hAnsi="Arial" w:cs="Arial"/>
                <w:sz w:val="24"/>
                <w:szCs w:val="24"/>
              </w:rPr>
              <w:t>FedDataCheck</w:t>
            </w:r>
            <w:proofErr w:type="spellEnd"/>
            <w:r w:rsidRPr="005E10C1">
              <w:rPr>
                <w:rFonts w:ascii="Arial" w:hAnsi="Arial" w:cs="Arial"/>
                <w:sz w:val="24"/>
                <w:szCs w:val="24"/>
              </w:rPr>
              <w:t xml:space="preserve"> (FDC) Training for NIH Acquisition Staff</w:t>
            </w:r>
          </w:p>
        </w:tc>
        <w:tc>
          <w:tcPr>
            <w:tcW w:w="1656" w:type="dxa"/>
          </w:tcPr>
          <w:p w14:paraId="33A281DB" w14:textId="77777777" w:rsidR="004576F3" w:rsidRDefault="004576F3" w:rsidP="004C4EDB">
            <w:pPr>
              <w:rPr>
                <w:rFonts w:ascii="Arial" w:hAnsi="Arial" w:cs="Arial"/>
                <w:sz w:val="24"/>
                <w:szCs w:val="24"/>
              </w:rPr>
            </w:pPr>
            <w:r>
              <w:rPr>
                <w:rFonts w:ascii="Arial" w:hAnsi="Arial" w:cs="Arial"/>
                <w:sz w:val="24"/>
                <w:szCs w:val="24"/>
              </w:rPr>
              <w:t>10/21/2020</w:t>
            </w:r>
          </w:p>
        </w:tc>
        <w:tc>
          <w:tcPr>
            <w:tcW w:w="4140" w:type="dxa"/>
          </w:tcPr>
          <w:p w14:paraId="7C5C88FE" w14:textId="77777777" w:rsidR="004576F3" w:rsidRDefault="004576F3" w:rsidP="004C4EDB">
            <w:pPr>
              <w:rPr>
                <w:rFonts w:ascii="Arial" w:hAnsi="Arial" w:cs="Arial"/>
                <w:sz w:val="24"/>
                <w:szCs w:val="24"/>
              </w:rPr>
            </w:pPr>
            <w:r w:rsidRPr="005E10C1">
              <w:rPr>
                <w:rFonts w:ascii="Arial" w:hAnsi="Arial" w:cs="Arial"/>
                <w:sz w:val="24"/>
                <w:szCs w:val="24"/>
              </w:rPr>
              <w:t>Thank you for attending the CDMP training session entitled “</w:t>
            </w:r>
            <w:proofErr w:type="spellStart"/>
            <w:r w:rsidRPr="005E10C1">
              <w:rPr>
                <w:rFonts w:ascii="Arial" w:hAnsi="Arial" w:cs="Arial"/>
                <w:sz w:val="24"/>
                <w:szCs w:val="24"/>
              </w:rPr>
              <w:t>FedDataCheck</w:t>
            </w:r>
            <w:proofErr w:type="spellEnd"/>
            <w:r w:rsidRPr="005E10C1">
              <w:rPr>
                <w:rFonts w:ascii="Arial" w:hAnsi="Arial" w:cs="Arial"/>
                <w:sz w:val="24"/>
                <w:szCs w:val="24"/>
              </w:rPr>
              <w:t xml:space="preserve"> (FDC) Training for NIH Acquisition Staff” presented on October 21, 2020</w:t>
            </w:r>
          </w:p>
        </w:tc>
      </w:tr>
      <w:tr w:rsidR="004576F3" w14:paraId="6721BDF6" w14:textId="77777777" w:rsidTr="004C4EDB">
        <w:trPr>
          <w:trHeight w:val="440"/>
        </w:trPr>
        <w:tc>
          <w:tcPr>
            <w:tcW w:w="1252" w:type="dxa"/>
          </w:tcPr>
          <w:p w14:paraId="7F7C423B" w14:textId="77777777" w:rsidR="004576F3" w:rsidRDefault="004576F3" w:rsidP="004C4EDB">
            <w:pPr>
              <w:rPr>
                <w:rFonts w:ascii="Arial" w:hAnsi="Arial" w:cs="Arial"/>
                <w:sz w:val="24"/>
                <w:szCs w:val="24"/>
              </w:rPr>
            </w:pPr>
            <w:r>
              <w:rPr>
                <w:rFonts w:ascii="Arial" w:hAnsi="Arial" w:cs="Arial"/>
                <w:sz w:val="24"/>
                <w:szCs w:val="24"/>
              </w:rPr>
              <w:t>21-06</w:t>
            </w:r>
          </w:p>
        </w:tc>
        <w:tc>
          <w:tcPr>
            <w:tcW w:w="3474" w:type="dxa"/>
          </w:tcPr>
          <w:p w14:paraId="5D05D6F4" w14:textId="77777777" w:rsidR="004576F3" w:rsidRDefault="004576F3" w:rsidP="004C4EDB">
            <w:pPr>
              <w:rPr>
                <w:rFonts w:ascii="Arial" w:hAnsi="Arial" w:cs="Arial"/>
                <w:sz w:val="24"/>
                <w:szCs w:val="24"/>
              </w:rPr>
            </w:pPr>
            <w:r w:rsidRPr="005E10C1">
              <w:rPr>
                <w:rFonts w:ascii="Arial" w:hAnsi="Arial" w:cs="Arial"/>
                <w:sz w:val="24"/>
                <w:szCs w:val="24"/>
              </w:rPr>
              <w:t xml:space="preserve">FY21 </w:t>
            </w:r>
            <w:proofErr w:type="spellStart"/>
            <w:r w:rsidRPr="005E10C1">
              <w:rPr>
                <w:rFonts w:ascii="Arial" w:hAnsi="Arial" w:cs="Arial"/>
                <w:sz w:val="24"/>
                <w:szCs w:val="24"/>
              </w:rPr>
              <w:t>FedDataCheck</w:t>
            </w:r>
            <w:proofErr w:type="spellEnd"/>
            <w:r w:rsidRPr="005E10C1">
              <w:rPr>
                <w:rFonts w:ascii="Arial" w:hAnsi="Arial" w:cs="Arial"/>
                <w:sz w:val="24"/>
                <w:szCs w:val="24"/>
              </w:rPr>
              <w:t xml:space="preserve"> Data Inconsistencies as of October 23, 2020</w:t>
            </w:r>
          </w:p>
        </w:tc>
        <w:tc>
          <w:tcPr>
            <w:tcW w:w="1656" w:type="dxa"/>
          </w:tcPr>
          <w:p w14:paraId="441442DB" w14:textId="77777777" w:rsidR="004576F3" w:rsidRDefault="004576F3" w:rsidP="004C4EDB">
            <w:pPr>
              <w:rPr>
                <w:rFonts w:ascii="Arial" w:hAnsi="Arial" w:cs="Arial"/>
                <w:sz w:val="24"/>
                <w:szCs w:val="24"/>
              </w:rPr>
            </w:pPr>
            <w:r>
              <w:rPr>
                <w:rFonts w:ascii="Arial" w:hAnsi="Arial" w:cs="Arial"/>
                <w:sz w:val="24"/>
                <w:szCs w:val="24"/>
              </w:rPr>
              <w:t>10/26/2020</w:t>
            </w:r>
          </w:p>
        </w:tc>
        <w:tc>
          <w:tcPr>
            <w:tcW w:w="4140" w:type="dxa"/>
          </w:tcPr>
          <w:p w14:paraId="58559AD5" w14:textId="77777777" w:rsidR="004576F3" w:rsidRPr="005E10C1" w:rsidRDefault="004576F3" w:rsidP="004C4EDB">
            <w:pPr>
              <w:rPr>
                <w:rFonts w:ascii="Arial" w:hAnsi="Arial" w:cs="Arial"/>
                <w:sz w:val="24"/>
                <w:szCs w:val="24"/>
              </w:rPr>
            </w:pPr>
            <w:r w:rsidRPr="005E10C1">
              <w:rPr>
                <w:rFonts w:ascii="Arial" w:hAnsi="Arial" w:cs="Arial"/>
                <w:sz w:val="24"/>
                <w:szCs w:val="24"/>
              </w:rPr>
              <w:t xml:space="preserve">Effective immediately, on a bi-weekly basis, users will receive an OALM Communication regarding data inconsistencies found in the Federal Procurement Data System – Next Generation (FPDS-NG). Please correct the errors as soon as possible.  </w:t>
            </w:r>
          </w:p>
        </w:tc>
      </w:tr>
      <w:tr w:rsidR="004576F3" w14:paraId="4E233981" w14:textId="77777777" w:rsidTr="004C4EDB">
        <w:trPr>
          <w:trHeight w:val="440"/>
        </w:trPr>
        <w:tc>
          <w:tcPr>
            <w:tcW w:w="1252" w:type="dxa"/>
          </w:tcPr>
          <w:p w14:paraId="14816561" w14:textId="77777777" w:rsidR="004576F3" w:rsidRDefault="004576F3" w:rsidP="004C4EDB">
            <w:pPr>
              <w:rPr>
                <w:rFonts w:ascii="Arial" w:hAnsi="Arial" w:cs="Arial"/>
                <w:sz w:val="24"/>
                <w:szCs w:val="24"/>
              </w:rPr>
            </w:pPr>
            <w:r>
              <w:rPr>
                <w:rFonts w:ascii="Arial" w:hAnsi="Arial" w:cs="Arial"/>
                <w:sz w:val="24"/>
                <w:szCs w:val="24"/>
              </w:rPr>
              <w:t>21-07</w:t>
            </w:r>
          </w:p>
        </w:tc>
        <w:tc>
          <w:tcPr>
            <w:tcW w:w="3474" w:type="dxa"/>
          </w:tcPr>
          <w:p w14:paraId="431AFA01" w14:textId="77777777" w:rsidR="004576F3" w:rsidRDefault="004576F3" w:rsidP="004C4EDB">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7CF5C1F1" w14:textId="77777777" w:rsidR="004576F3" w:rsidRDefault="004576F3" w:rsidP="004C4EDB">
            <w:pPr>
              <w:rPr>
                <w:rFonts w:ascii="Arial" w:hAnsi="Arial" w:cs="Arial"/>
                <w:sz w:val="24"/>
                <w:szCs w:val="24"/>
              </w:rPr>
            </w:pPr>
            <w:r>
              <w:rPr>
                <w:rFonts w:ascii="Arial" w:hAnsi="Arial" w:cs="Arial"/>
                <w:sz w:val="24"/>
                <w:szCs w:val="24"/>
              </w:rPr>
              <w:t>7/31/20</w:t>
            </w:r>
          </w:p>
        </w:tc>
        <w:tc>
          <w:tcPr>
            <w:tcW w:w="4140" w:type="dxa"/>
          </w:tcPr>
          <w:p w14:paraId="7B1E229F" w14:textId="77777777" w:rsidR="004576F3" w:rsidRDefault="004576F3" w:rsidP="004C4EDB">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4576F3" w14:paraId="12B5FDA3" w14:textId="77777777" w:rsidTr="004C4EDB">
        <w:trPr>
          <w:trHeight w:val="440"/>
        </w:trPr>
        <w:tc>
          <w:tcPr>
            <w:tcW w:w="1252" w:type="dxa"/>
          </w:tcPr>
          <w:p w14:paraId="3861DA90" w14:textId="77777777" w:rsidR="004576F3" w:rsidRDefault="004576F3" w:rsidP="004C4EDB">
            <w:pPr>
              <w:rPr>
                <w:rFonts w:ascii="Arial" w:hAnsi="Arial" w:cs="Arial"/>
                <w:sz w:val="24"/>
                <w:szCs w:val="24"/>
              </w:rPr>
            </w:pPr>
            <w:r>
              <w:rPr>
                <w:rFonts w:ascii="Arial" w:hAnsi="Arial" w:cs="Arial"/>
                <w:sz w:val="24"/>
                <w:szCs w:val="24"/>
              </w:rPr>
              <w:t>21-08</w:t>
            </w:r>
          </w:p>
        </w:tc>
        <w:tc>
          <w:tcPr>
            <w:tcW w:w="3474" w:type="dxa"/>
          </w:tcPr>
          <w:p w14:paraId="1D0A91D8" w14:textId="77777777" w:rsidR="004576F3" w:rsidRDefault="004576F3" w:rsidP="004C4EDB">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3989C28B" w14:textId="77777777" w:rsidR="004576F3" w:rsidRDefault="004576F3" w:rsidP="004C4EDB">
            <w:pPr>
              <w:rPr>
                <w:rFonts w:ascii="Arial" w:hAnsi="Arial" w:cs="Arial"/>
                <w:sz w:val="24"/>
                <w:szCs w:val="24"/>
              </w:rPr>
            </w:pPr>
            <w:r>
              <w:rPr>
                <w:rFonts w:ascii="Arial" w:hAnsi="Arial" w:cs="Arial"/>
                <w:sz w:val="24"/>
                <w:szCs w:val="24"/>
              </w:rPr>
              <w:t>7/31/20</w:t>
            </w:r>
          </w:p>
        </w:tc>
        <w:tc>
          <w:tcPr>
            <w:tcW w:w="4140" w:type="dxa"/>
          </w:tcPr>
          <w:p w14:paraId="74F91560" w14:textId="77777777" w:rsidR="004576F3" w:rsidRDefault="004576F3" w:rsidP="004C4EDB">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4576F3" w14:paraId="68BAC8EF" w14:textId="77777777" w:rsidTr="004C4EDB">
        <w:trPr>
          <w:trHeight w:val="440"/>
        </w:trPr>
        <w:tc>
          <w:tcPr>
            <w:tcW w:w="1252" w:type="dxa"/>
          </w:tcPr>
          <w:p w14:paraId="6AD01022" w14:textId="77777777" w:rsidR="004576F3" w:rsidRDefault="004576F3" w:rsidP="004C4EDB">
            <w:pPr>
              <w:rPr>
                <w:rFonts w:ascii="Arial" w:hAnsi="Arial" w:cs="Arial"/>
                <w:sz w:val="24"/>
                <w:szCs w:val="24"/>
              </w:rPr>
            </w:pPr>
            <w:r>
              <w:rPr>
                <w:rFonts w:ascii="Arial" w:hAnsi="Arial" w:cs="Arial"/>
                <w:sz w:val="24"/>
                <w:szCs w:val="24"/>
              </w:rPr>
              <w:t>21-09</w:t>
            </w:r>
          </w:p>
        </w:tc>
        <w:tc>
          <w:tcPr>
            <w:tcW w:w="3474" w:type="dxa"/>
          </w:tcPr>
          <w:p w14:paraId="4B07D1DA" w14:textId="77777777" w:rsidR="004576F3" w:rsidRDefault="004576F3" w:rsidP="004C4EDB">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060A6873" w14:textId="77777777" w:rsidR="004576F3" w:rsidRDefault="004576F3" w:rsidP="004C4EDB">
            <w:pPr>
              <w:rPr>
                <w:rFonts w:ascii="Arial" w:hAnsi="Arial" w:cs="Arial"/>
                <w:sz w:val="24"/>
                <w:szCs w:val="24"/>
              </w:rPr>
            </w:pPr>
            <w:r>
              <w:rPr>
                <w:rFonts w:ascii="Arial" w:hAnsi="Arial" w:cs="Arial"/>
                <w:sz w:val="24"/>
                <w:szCs w:val="24"/>
              </w:rPr>
              <w:t>7/31/20</w:t>
            </w:r>
          </w:p>
        </w:tc>
        <w:tc>
          <w:tcPr>
            <w:tcW w:w="4140" w:type="dxa"/>
          </w:tcPr>
          <w:p w14:paraId="5855A57E" w14:textId="77777777" w:rsidR="004576F3" w:rsidRDefault="004576F3" w:rsidP="004C4EDB">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4576F3" w14:paraId="7FA5D8FC" w14:textId="77777777" w:rsidTr="004C4EDB">
        <w:trPr>
          <w:trHeight w:val="440"/>
        </w:trPr>
        <w:tc>
          <w:tcPr>
            <w:tcW w:w="1252" w:type="dxa"/>
          </w:tcPr>
          <w:p w14:paraId="60BB63D2" w14:textId="77777777" w:rsidR="004576F3" w:rsidRDefault="004576F3" w:rsidP="004C4EDB">
            <w:pPr>
              <w:rPr>
                <w:rFonts w:ascii="Arial" w:hAnsi="Arial" w:cs="Arial"/>
                <w:sz w:val="24"/>
                <w:szCs w:val="24"/>
              </w:rPr>
            </w:pPr>
            <w:r>
              <w:rPr>
                <w:rFonts w:ascii="Arial" w:hAnsi="Arial" w:cs="Arial"/>
                <w:sz w:val="24"/>
                <w:szCs w:val="24"/>
              </w:rPr>
              <w:t>21-10</w:t>
            </w:r>
          </w:p>
        </w:tc>
        <w:tc>
          <w:tcPr>
            <w:tcW w:w="3474" w:type="dxa"/>
          </w:tcPr>
          <w:p w14:paraId="0FF157D1" w14:textId="77777777" w:rsidR="004576F3" w:rsidRDefault="004576F3" w:rsidP="004C4EDB">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38C2AF50" w14:textId="77777777" w:rsidR="004576F3" w:rsidRDefault="004576F3" w:rsidP="004C4EDB">
            <w:pPr>
              <w:rPr>
                <w:rFonts w:ascii="Arial" w:hAnsi="Arial" w:cs="Arial"/>
                <w:sz w:val="24"/>
                <w:szCs w:val="24"/>
              </w:rPr>
            </w:pPr>
            <w:r>
              <w:rPr>
                <w:rFonts w:ascii="Arial" w:hAnsi="Arial" w:cs="Arial"/>
                <w:sz w:val="24"/>
                <w:szCs w:val="24"/>
              </w:rPr>
              <w:t>7/31/20</w:t>
            </w:r>
          </w:p>
        </w:tc>
        <w:tc>
          <w:tcPr>
            <w:tcW w:w="4140" w:type="dxa"/>
          </w:tcPr>
          <w:p w14:paraId="1FCC675B" w14:textId="77777777" w:rsidR="004576F3" w:rsidRDefault="004576F3" w:rsidP="004C4EDB">
            <w:pPr>
              <w:rPr>
                <w:rFonts w:ascii="Arial" w:hAnsi="Arial" w:cs="Arial"/>
                <w:sz w:val="24"/>
                <w:szCs w:val="24"/>
              </w:rPr>
            </w:pPr>
            <w:r w:rsidRPr="0042596E">
              <w:rPr>
                <w:rFonts w:ascii="Arial" w:hAnsi="Arial" w:cs="Arial"/>
                <w:sz w:val="24"/>
                <w:szCs w:val="24"/>
              </w:rPr>
              <w:t>Certain appropriations are available for obligation for a specific period, i.e., annual and multi-year 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r w:rsidR="004576F3" w14:paraId="2062DAC2" w14:textId="77777777" w:rsidTr="004C4EDB">
        <w:trPr>
          <w:trHeight w:val="440"/>
        </w:trPr>
        <w:tc>
          <w:tcPr>
            <w:tcW w:w="1252" w:type="dxa"/>
          </w:tcPr>
          <w:p w14:paraId="18822DF7" w14:textId="77777777" w:rsidR="004576F3" w:rsidRDefault="004576F3" w:rsidP="004C4EDB">
            <w:pPr>
              <w:rPr>
                <w:rFonts w:ascii="Arial" w:hAnsi="Arial" w:cs="Arial"/>
                <w:sz w:val="24"/>
                <w:szCs w:val="24"/>
              </w:rPr>
            </w:pPr>
            <w:r>
              <w:rPr>
                <w:rFonts w:ascii="Arial" w:hAnsi="Arial" w:cs="Arial"/>
                <w:sz w:val="24"/>
                <w:szCs w:val="24"/>
              </w:rPr>
              <w:t>21-11</w:t>
            </w:r>
          </w:p>
        </w:tc>
        <w:tc>
          <w:tcPr>
            <w:tcW w:w="3474" w:type="dxa"/>
          </w:tcPr>
          <w:p w14:paraId="552A1E4B" w14:textId="77777777" w:rsidR="004576F3" w:rsidRDefault="004576F3" w:rsidP="004C4EDB">
            <w:pPr>
              <w:rPr>
                <w:rFonts w:ascii="Arial" w:hAnsi="Arial" w:cs="Arial"/>
                <w:sz w:val="24"/>
                <w:szCs w:val="24"/>
              </w:rPr>
            </w:pPr>
            <w:r>
              <w:rPr>
                <w:rFonts w:ascii="Arial" w:hAnsi="Arial" w:cs="Arial"/>
                <w:sz w:val="24"/>
                <w:szCs w:val="24"/>
              </w:rPr>
              <w:t>DEADLINE TODAY! Resolving FY 2015 Canceling Year Lines</w:t>
            </w:r>
          </w:p>
        </w:tc>
        <w:tc>
          <w:tcPr>
            <w:tcW w:w="1656" w:type="dxa"/>
          </w:tcPr>
          <w:p w14:paraId="4BD8FA9D" w14:textId="77777777" w:rsidR="004576F3" w:rsidRDefault="004576F3" w:rsidP="004C4EDB">
            <w:pPr>
              <w:rPr>
                <w:rFonts w:ascii="Arial" w:hAnsi="Arial" w:cs="Arial"/>
                <w:sz w:val="24"/>
                <w:szCs w:val="24"/>
              </w:rPr>
            </w:pPr>
            <w:r>
              <w:rPr>
                <w:rFonts w:ascii="Arial" w:hAnsi="Arial" w:cs="Arial"/>
                <w:sz w:val="24"/>
                <w:szCs w:val="24"/>
              </w:rPr>
              <w:t>7/31/20</w:t>
            </w:r>
          </w:p>
        </w:tc>
        <w:tc>
          <w:tcPr>
            <w:tcW w:w="4140" w:type="dxa"/>
          </w:tcPr>
          <w:p w14:paraId="5E132AEE" w14:textId="77777777" w:rsidR="004576F3" w:rsidRDefault="004576F3" w:rsidP="004C4EDB">
            <w:pPr>
              <w:rPr>
                <w:rFonts w:ascii="Arial" w:hAnsi="Arial" w:cs="Arial"/>
                <w:sz w:val="24"/>
                <w:szCs w:val="24"/>
              </w:rPr>
            </w:pPr>
            <w:r w:rsidRPr="0042596E">
              <w:rPr>
                <w:rFonts w:ascii="Arial" w:hAnsi="Arial" w:cs="Arial"/>
                <w:sz w:val="24"/>
                <w:szCs w:val="24"/>
              </w:rPr>
              <w:t xml:space="preserve">Certain appropriations are available for obligation for a specific period, i.e., annual and multi-year </w:t>
            </w:r>
            <w:r w:rsidRPr="0042596E">
              <w:rPr>
                <w:rFonts w:ascii="Arial" w:hAnsi="Arial" w:cs="Arial"/>
                <w:sz w:val="24"/>
                <w:szCs w:val="24"/>
              </w:rPr>
              <w:lastRenderedPageBreak/>
              <w:t>appropriations.</w:t>
            </w:r>
            <w:r>
              <w:rPr>
                <w:rFonts w:ascii="Arial" w:hAnsi="Arial" w:cs="Arial"/>
                <w:sz w:val="24"/>
                <w:szCs w:val="24"/>
              </w:rPr>
              <w:t xml:space="preserve"> </w:t>
            </w:r>
            <w:r w:rsidRPr="0042596E">
              <w:rPr>
                <w:rFonts w:ascii="Arial" w:hAnsi="Arial" w:cs="Arial"/>
                <w:sz w:val="24"/>
                <w:szCs w:val="24"/>
              </w:rPr>
              <w:t>NIH’s approach is to have these lines resolved by Ju</w:t>
            </w:r>
            <w:r>
              <w:rPr>
                <w:rFonts w:ascii="Arial" w:hAnsi="Arial" w:cs="Arial"/>
                <w:sz w:val="24"/>
                <w:szCs w:val="24"/>
              </w:rPr>
              <w:t>ly</w:t>
            </w:r>
            <w:r w:rsidRPr="0042596E">
              <w:rPr>
                <w:rFonts w:ascii="Arial" w:hAnsi="Arial" w:cs="Arial"/>
                <w:sz w:val="24"/>
                <w:szCs w:val="24"/>
              </w:rPr>
              <w:t xml:space="preserve"> 3</w:t>
            </w:r>
            <w:r>
              <w:rPr>
                <w:rFonts w:ascii="Arial" w:hAnsi="Arial" w:cs="Arial"/>
                <w:sz w:val="24"/>
                <w:szCs w:val="24"/>
              </w:rPr>
              <w:t>1</w:t>
            </w:r>
            <w:r w:rsidRPr="0042596E">
              <w:rPr>
                <w:rFonts w:ascii="Arial" w:hAnsi="Arial" w:cs="Arial"/>
                <w:sz w:val="24"/>
                <w:szCs w:val="24"/>
              </w:rPr>
              <w:t xml:space="preserve">, 2020.  </w:t>
            </w:r>
          </w:p>
        </w:tc>
      </w:tr>
    </w:tbl>
    <w:p w14:paraId="21F58A8C" w14:textId="7987AEDF" w:rsidR="001453A1" w:rsidRDefault="001453A1" w:rsidP="00556AD2">
      <w:pPr>
        <w:spacing w:line="240" w:lineRule="auto"/>
        <w:jc w:val="both"/>
        <w:rPr>
          <w:sz w:val="32"/>
          <w:szCs w:val="32"/>
        </w:rPr>
      </w:pPr>
    </w:p>
    <w:p w14:paraId="63D0E709" w14:textId="5789C3EB" w:rsidR="00A406AE" w:rsidRPr="00655CE9" w:rsidRDefault="00A406AE" w:rsidP="00655CE9">
      <w:pPr>
        <w:pStyle w:val="Heading1"/>
      </w:pPr>
      <w:r w:rsidRPr="00A406AE">
        <w:t>Acquisition Training Information</w:t>
      </w:r>
    </w:p>
    <w:p w14:paraId="603C3DBA"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Acquisition Training at NIH</w:t>
      </w:r>
    </w:p>
    <w:p w14:paraId="0218F346" w14:textId="77777777" w:rsidR="00A406AE" w:rsidRPr="00A406AE" w:rsidRDefault="00A406AE" w:rsidP="00556AD2">
      <w:pPr>
        <w:spacing w:after="120" w:line="240" w:lineRule="auto"/>
        <w:rPr>
          <w:rFonts w:ascii="Arial" w:eastAsia="Calibri" w:hAnsi="Arial" w:cs="Arial"/>
          <w:color w:val="0000FF"/>
          <w:spacing w:val="-1"/>
          <w:sz w:val="24"/>
          <w:szCs w:val="24"/>
          <w:u w:val="single" w:color="0000FF"/>
        </w:rPr>
      </w:pPr>
      <w:r w:rsidRPr="00A406AE">
        <w:rPr>
          <w:rFonts w:ascii="Arial" w:eastAsia="Calibri" w:hAnsi="Arial" w:cs="Arial"/>
          <w:spacing w:val="1"/>
          <w:sz w:val="24"/>
          <w:szCs w:val="24"/>
        </w:rPr>
        <w:t>A</w:t>
      </w:r>
      <w:r w:rsidRPr="00A406AE">
        <w:rPr>
          <w:rFonts w:ascii="Arial" w:eastAsia="Calibri" w:hAnsi="Arial" w:cs="Arial"/>
          <w:sz w:val="24"/>
          <w:szCs w:val="24"/>
        </w:rPr>
        <w:t>c</w:t>
      </w:r>
      <w:r w:rsidRPr="00A406AE">
        <w:rPr>
          <w:rFonts w:ascii="Arial" w:eastAsia="Calibri" w:hAnsi="Arial" w:cs="Arial"/>
          <w:spacing w:val="-1"/>
          <w:sz w:val="24"/>
          <w:szCs w:val="24"/>
        </w:rPr>
        <w:t>q</w:t>
      </w:r>
      <w:r w:rsidRPr="00A406AE">
        <w:rPr>
          <w:rFonts w:ascii="Arial" w:eastAsia="Calibri" w:hAnsi="Arial" w:cs="Arial"/>
          <w:spacing w:val="1"/>
          <w:sz w:val="24"/>
          <w:szCs w:val="24"/>
        </w:rPr>
        <w:t>u</w:t>
      </w:r>
      <w:r w:rsidRPr="00A406AE">
        <w:rPr>
          <w:rFonts w:ascii="Arial" w:eastAsia="Calibri" w:hAnsi="Arial" w:cs="Arial"/>
          <w:spacing w:val="-1"/>
          <w:sz w:val="24"/>
          <w:szCs w:val="24"/>
        </w:rPr>
        <w:t>i</w:t>
      </w:r>
      <w:r w:rsidRPr="00A406AE">
        <w:rPr>
          <w:rFonts w:ascii="Arial" w:eastAsia="Calibri" w:hAnsi="Arial" w:cs="Arial"/>
          <w:sz w:val="24"/>
          <w:szCs w:val="24"/>
        </w:rPr>
        <w:t>s</w:t>
      </w:r>
      <w:r w:rsidRPr="00A406AE">
        <w:rPr>
          <w:rFonts w:ascii="Arial" w:eastAsia="Calibri" w:hAnsi="Arial" w:cs="Arial"/>
          <w:spacing w:val="-1"/>
          <w:sz w:val="24"/>
          <w:szCs w:val="24"/>
        </w:rPr>
        <w:t>i</w:t>
      </w:r>
      <w:r w:rsidRPr="00A406AE">
        <w:rPr>
          <w:rFonts w:ascii="Arial" w:eastAsia="Calibri" w:hAnsi="Arial" w:cs="Arial"/>
          <w:spacing w:val="1"/>
          <w:sz w:val="24"/>
          <w:szCs w:val="24"/>
        </w:rPr>
        <w:t>t</w:t>
      </w:r>
      <w:r w:rsidRPr="00A406AE">
        <w:rPr>
          <w:rFonts w:ascii="Arial" w:eastAsia="Calibri" w:hAnsi="Arial" w:cs="Arial"/>
          <w:spacing w:val="-1"/>
          <w:sz w:val="24"/>
          <w:szCs w:val="24"/>
        </w:rPr>
        <w:t>i</w:t>
      </w:r>
      <w:r w:rsidRPr="00A406AE">
        <w:rPr>
          <w:rFonts w:ascii="Arial" w:eastAsia="Calibri" w:hAnsi="Arial" w:cs="Arial"/>
          <w:spacing w:val="1"/>
          <w:sz w:val="24"/>
          <w:szCs w:val="24"/>
        </w:rPr>
        <w:t>o</w:t>
      </w:r>
      <w:r w:rsidRPr="00A406AE">
        <w:rPr>
          <w:rFonts w:ascii="Arial" w:eastAsia="Calibri" w:hAnsi="Arial" w:cs="Arial"/>
          <w:sz w:val="24"/>
          <w:szCs w:val="24"/>
        </w:rPr>
        <w:t>n</w:t>
      </w:r>
      <w:r w:rsidRPr="00A406AE">
        <w:rPr>
          <w:rFonts w:ascii="Arial" w:eastAsia="Calibri" w:hAnsi="Arial" w:cs="Arial"/>
          <w:spacing w:val="2"/>
          <w:sz w:val="24"/>
          <w:szCs w:val="24"/>
        </w:rPr>
        <w:t xml:space="preserve"> t</w:t>
      </w:r>
      <w:r w:rsidRPr="00A406AE">
        <w:rPr>
          <w:rFonts w:ascii="Arial" w:eastAsia="Calibri" w:hAnsi="Arial" w:cs="Arial"/>
          <w:spacing w:val="-3"/>
          <w:sz w:val="24"/>
          <w:szCs w:val="24"/>
        </w:rPr>
        <w:t>r</w:t>
      </w:r>
      <w:r w:rsidRPr="00A406AE">
        <w:rPr>
          <w:rFonts w:ascii="Arial" w:eastAsia="Calibri" w:hAnsi="Arial" w:cs="Arial"/>
          <w:spacing w:val="1"/>
          <w:sz w:val="24"/>
          <w:szCs w:val="24"/>
        </w:rPr>
        <w:t>a</w:t>
      </w:r>
      <w:r w:rsidRPr="00A406AE">
        <w:rPr>
          <w:rFonts w:ascii="Arial" w:eastAsia="Calibri" w:hAnsi="Arial" w:cs="Arial"/>
          <w:spacing w:val="-1"/>
          <w:sz w:val="24"/>
          <w:szCs w:val="24"/>
        </w:rPr>
        <w:t>i</w:t>
      </w:r>
      <w:r w:rsidRPr="00A406AE">
        <w:rPr>
          <w:rFonts w:ascii="Arial" w:eastAsia="Calibri" w:hAnsi="Arial" w:cs="Arial"/>
          <w:spacing w:val="1"/>
          <w:sz w:val="24"/>
          <w:szCs w:val="24"/>
        </w:rPr>
        <w:t>n</w:t>
      </w:r>
      <w:r w:rsidRPr="00A406AE">
        <w:rPr>
          <w:rFonts w:ascii="Arial" w:eastAsia="Calibri" w:hAnsi="Arial" w:cs="Arial"/>
          <w:spacing w:val="-1"/>
          <w:sz w:val="24"/>
          <w:szCs w:val="24"/>
        </w:rPr>
        <w:t>i</w:t>
      </w:r>
      <w:r w:rsidRPr="00A406AE">
        <w:rPr>
          <w:rFonts w:ascii="Arial" w:eastAsia="Calibri" w:hAnsi="Arial" w:cs="Arial"/>
          <w:spacing w:val="1"/>
          <w:sz w:val="24"/>
          <w:szCs w:val="24"/>
        </w:rPr>
        <w:t>n</w:t>
      </w:r>
      <w:r w:rsidRPr="00A406AE">
        <w:rPr>
          <w:rFonts w:ascii="Arial" w:eastAsia="Calibri" w:hAnsi="Arial" w:cs="Arial"/>
          <w:sz w:val="24"/>
          <w:szCs w:val="24"/>
        </w:rPr>
        <w:t>g</w:t>
      </w:r>
      <w:r w:rsidRPr="00A406AE">
        <w:rPr>
          <w:rFonts w:ascii="Arial" w:eastAsia="Calibri" w:hAnsi="Arial" w:cs="Arial"/>
          <w:spacing w:val="-1"/>
          <w:sz w:val="24"/>
          <w:szCs w:val="24"/>
        </w:rPr>
        <w:t xml:space="preserve"> cl</w:t>
      </w:r>
      <w:r w:rsidRPr="00A406AE">
        <w:rPr>
          <w:rFonts w:ascii="Arial" w:eastAsia="Calibri" w:hAnsi="Arial" w:cs="Arial"/>
          <w:spacing w:val="1"/>
          <w:sz w:val="24"/>
          <w:szCs w:val="24"/>
        </w:rPr>
        <w:t>a</w:t>
      </w:r>
      <w:r w:rsidRPr="00A406AE">
        <w:rPr>
          <w:rFonts w:ascii="Arial" w:eastAsia="Calibri" w:hAnsi="Arial" w:cs="Arial"/>
          <w:sz w:val="24"/>
          <w:szCs w:val="24"/>
        </w:rPr>
        <w:t>ss</w:t>
      </w:r>
      <w:r w:rsidRPr="00A406AE">
        <w:rPr>
          <w:rFonts w:ascii="Arial" w:eastAsia="Calibri" w:hAnsi="Arial" w:cs="Arial"/>
          <w:spacing w:val="1"/>
          <w:sz w:val="24"/>
          <w:szCs w:val="24"/>
        </w:rPr>
        <w:t>e</w:t>
      </w:r>
      <w:r w:rsidRPr="00A406AE">
        <w:rPr>
          <w:rFonts w:ascii="Arial" w:eastAsia="Calibri" w:hAnsi="Arial" w:cs="Arial"/>
          <w:sz w:val="24"/>
          <w:szCs w:val="24"/>
        </w:rPr>
        <w:t>s</w:t>
      </w:r>
      <w:r w:rsidRPr="00A406AE">
        <w:rPr>
          <w:rFonts w:ascii="Arial" w:eastAsia="Calibri" w:hAnsi="Arial" w:cs="Arial"/>
          <w:spacing w:val="1"/>
          <w:sz w:val="24"/>
          <w:szCs w:val="24"/>
        </w:rPr>
        <w:t xml:space="preserve"> that are offered by the NIH Training Center </w:t>
      </w:r>
      <w:r w:rsidRPr="00A406AE">
        <w:rPr>
          <w:rFonts w:ascii="Arial" w:eastAsia="Calibri" w:hAnsi="Arial" w:cs="Arial"/>
          <w:sz w:val="24"/>
          <w:szCs w:val="24"/>
        </w:rPr>
        <w:t>can</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b</w:t>
      </w:r>
      <w:r w:rsidRPr="00A406AE">
        <w:rPr>
          <w:rFonts w:ascii="Arial" w:eastAsia="Calibri" w:hAnsi="Arial" w:cs="Arial"/>
          <w:sz w:val="24"/>
          <w:szCs w:val="24"/>
        </w:rPr>
        <w:t>e</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a</w:t>
      </w:r>
      <w:r w:rsidRPr="00A406AE">
        <w:rPr>
          <w:rFonts w:ascii="Arial" w:eastAsia="Calibri" w:hAnsi="Arial" w:cs="Arial"/>
          <w:sz w:val="24"/>
          <w:szCs w:val="24"/>
        </w:rPr>
        <w:t>c</w:t>
      </w:r>
      <w:r w:rsidRPr="00A406AE">
        <w:rPr>
          <w:rFonts w:ascii="Arial" w:eastAsia="Calibri" w:hAnsi="Arial" w:cs="Arial"/>
          <w:spacing w:val="-2"/>
          <w:sz w:val="24"/>
          <w:szCs w:val="24"/>
        </w:rPr>
        <w:t>c</w:t>
      </w:r>
      <w:r w:rsidRPr="00A406AE">
        <w:rPr>
          <w:rFonts w:ascii="Arial" w:eastAsia="Calibri" w:hAnsi="Arial" w:cs="Arial"/>
          <w:spacing w:val="1"/>
          <w:sz w:val="24"/>
          <w:szCs w:val="24"/>
        </w:rPr>
        <w:t>e</w:t>
      </w:r>
      <w:r w:rsidRPr="00A406AE">
        <w:rPr>
          <w:rFonts w:ascii="Arial" w:eastAsia="Calibri" w:hAnsi="Arial" w:cs="Arial"/>
          <w:sz w:val="24"/>
          <w:szCs w:val="24"/>
        </w:rPr>
        <w:t>ss</w:t>
      </w:r>
      <w:r w:rsidRPr="00A406AE">
        <w:rPr>
          <w:rFonts w:ascii="Arial" w:eastAsia="Calibri" w:hAnsi="Arial" w:cs="Arial"/>
          <w:spacing w:val="-1"/>
          <w:sz w:val="24"/>
          <w:szCs w:val="24"/>
        </w:rPr>
        <w:t>e</w:t>
      </w:r>
      <w:r w:rsidRPr="00A406AE">
        <w:rPr>
          <w:rFonts w:ascii="Arial" w:eastAsia="Calibri" w:hAnsi="Arial" w:cs="Arial"/>
          <w:sz w:val="24"/>
          <w:szCs w:val="24"/>
        </w:rPr>
        <w:t>d</w:t>
      </w:r>
      <w:r w:rsidRPr="00A406AE">
        <w:rPr>
          <w:rFonts w:ascii="Arial" w:eastAsia="Calibri" w:hAnsi="Arial" w:cs="Arial"/>
          <w:spacing w:val="2"/>
          <w:sz w:val="24"/>
          <w:szCs w:val="24"/>
        </w:rPr>
        <w:t xml:space="preserve"> </w:t>
      </w:r>
      <w:r w:rsidRPr="00A406AE">
        <w:rPr>
          <w:rFonts w:ascii="Arial" w:eastAsia="Calibri" w:hAnsi="Arial" w:cs="Arial"/>
          <w:spacing w:val="1"/>
          <w:sz w:val="24"/>
          <w:szCs w:val="24"/>
        </w:rPr>
        <w:t>a</w:t>
      </w:r>
      <w:r w:rsidRPr="00A406AE">
        <w:rPr>
          <w:rFonts w:ascii="Arial" w:eastAsia="Calibri" w:hAnsi="Arial" w:cs="Arial"/>
          <w:sz w:val="24"/>
          <w:szCs w:val="24"/>
        </w:rPr>
        <w:t>t</w:t>
      </w:r>
      <w:r w:rsidRPr="00A406AE">
        <w:rPr>
          <w:rFonts w:ascii="Arial" w:eastAsia="Calibri" w:hAnsi="Arial" w:cs="Arial"/>
          <w:spacing w:val="-1"/>
          <w:sz w:val="24"/>
          <w:szCs w:val="24"/>
        </w:rPr>
        <w:t xml:space="preserve"> </w:t>
      </w:r>
      <w:r w:rsidRPr="00A406AE">
        <w:rPr>
          <w:rFonts w:ascii="Arial" w:eastAsia="Calibri" w:hAnsi="Arial" w:cs="Arial"/>
          <w:spacing w:val="1"/>
          <w:sz w:val="24"/>
          <w:szCs w:val="24"/>
        </w:rPr>
        <w:t>th</w:t>
      </w:r>
      <w:r w:rsidRPr="00A406AE">
        <w:rPr>
          <w:rFonts w:ascii="Arial" w:eastAsia="Calibri" w:hAnsi="Arial" w:cs="Arial"/>
          <w:sz w:val="24"/>
          <w:szCs w:val="24"/>
        </w:rPr>
        <w:t>e</w:t>
      </w:r>
      <w:r w:rsidRPr="00A406AE">
        <w:rPr>
          <w:rFonts w:ascii="Arial" w:eastAsia="Calibri" w:hAnsi="Arial" w:cs="Arial"/>
          <w:spacing w:val="-3"/>
          <w:sz w:val="24"/>
          <w:szCs w:val="24"/>
        </w:rPr>
        <w:t xml:space="preserve"> </w:t>
      </w:r>
      <w:r w:rsidRPr="00A406AE">
        <w:rPr>
          <w:rFonts w:ascii="Arial" w:eastAsia="Calibri" w:hAnsi="Arial" w:cs="Arial"/>
          <w:spacing w:val="3"/>
          <w:sz w:val="24"/>
          <w:szCs w:val="24"/>
        </w:rPr>
        <w:t>f</w:t>
      </w:r>
      <w:r w:rsidRPr="00A406AE">
        <w:rPr>
          <w:rFonts w:ascii="Arial" w:eastAsia="Calibri" w:hAnsi="Arial" w:cs="Arial"/>
          <w:spacing w:val="1"/>
          <w:sz w:val="24"/>
          <w:szCs w:val="24"/>
        </w:rPr>
        <w:t>o</w:t>
      </w:r>
      <w:r w:rsidRPr="00A406AE">
        <w:rPr>
          <w:rFonts w:ascii="Arial" w:eastAsia="Calibri" w:hAnsi="Arial" w:cs="Arial"/>
          <w:spacing w:val="-1"/>
          <w:sz w:val="24"/>
          <w:szCs w:val="24"/>
        </w:rPr>
        <w:t>ll</w:t>
      </w:r>
      <w:r w:rsidRPr="00A406AE">
        <w:rPr>
          <w:rFonts w:ascii="Arial" w:eastAsia="Calibri" w:hAnsi="Arial" w:cs="Arial"/>
          <w:spacing w:val="1"/>
          <w:sz w:val="24"/>
          <w:szCs w:val="24"/>
        </w:rPr>
        <w:t>o</w:t>
      </w:r>
      <w:r w:rsidRPr="00A406AE">
        <w:rPr>
          <w:rFonts w:ascii="Arial" w:eastAsia="Calibri" w:hAnsi="Arial" w:cs="Arial"/>
          <w:spacing w:val="-3"/>
          <w:sz w:val="24"/>
          <w:szCs w:val="24"/>
        </w:rPr>
        <w:t>w</w:t>
      </w:r>
      <w:r w:rsidRPr="00A406AE">
        <w:rPr>
          <w:rFonts w:ascii="Arial" w:eastAsia="Calibri" w:hAnsi="Arial" w:cs="Arial"/>
          <w:spacing w:val="-1"/>
          <w:sz w:val="24"/>
          <w:szCs w:val="24"/>
        </w:rPr>
        <w:t>i</w:t>
      </w:r>
      <w:r w:rsidRPr="00A406AE">
        <w:rPr>
          <w:rFonts w:ascii="Arial" w:eastAsia="Calibri" w:hAnsi="Arial" w:cs="Arial"/>
          <w:spacing w:val="1"/>
          <w:sz w:val="24"/>
          <w:szCs w:val="24"/>
        </w:rPr>
        <w:t xml:space="preserve">ng </w:t>
      </w:r>
      <w:r w:rsidRPr="00A406AE">
        <w:rPr>
          <w:rFonts w:ascii="Arial" w:eastAsia="Calibri" w:hAnsi="Arial" w:cs="Arial"/>
          <w:sz w:val="24"/>
          <w:szCs w:val="24"/>
        </w:rPr>
        <w:t>li</w:t>
      </w:r>
      <w:r w:rsidRPr="00A406AE">
        <w:rPr>
          <w:rFonts w:ascii="Arial" w:eastAsia="Calibri" w:hAnsi="Arial" w:cs="Arial"/>
          <w:spacing w:val="1"/>
          <w:sz w:val="24"/>
          <w:szCs w:val="24"/>
        </w:rPr>
        <w:t>n</w:t>
      </w:r>
      <w:r w:rsidRPr="00A406AE">
        <w:rPr>
          <w:rFonts w:ascii="Arial" w:eastAsia="Calibri" w:hAnsi="Arial" w:cs="Arial"/>
          <w:sz w:val="24"/>
          <w:szCs w:val="24"/>
        </w:rPr>
        <w:t xml:space="preserve">k: </w:t>
      </w:r>
      <w:r w:rsidRPr="00A406AE">
        <w:rPr>
          <w:rFonts w:ascii="Arial" w:eastAsia="Calibri" w:hAnsi="Arial" w:cs="Arial"/>
          <w:color w:val="0000FF"/>
          <w:spacing w:val="-65"/>
          <w:sz w:val="24"/>
          <w:szCs w:val="24"/>
        </w:rPr>
        <w:t xml:space="preserve"> </w:t>
      </w:r>
      <w:hyperlink r:id="rId65" w:tooltip="Acquisitions Management Courses" w:history="1">
        <w:r w:rsidRPr="00A406AE">
          <w:rPr>
            <w:rFonts w:ascii="Arial" w:eastAsia="Calibri" w:hAnsi="Arial" w:cs="Arial"/>
            <w:color w:val="0563C1"/>
            <w:spacing w:val="-1"/>
            <w:sz w:val="24"/>
            <w:szCs w:val="24"/>
            <w:u w:val="single"/>
          </w:rPr>
          <w:t>Acquisitions Management Courses</w:t>
        </w:r>
      </w:hyperlink>
    </w:p>
    <w:p w14:paraId="12396AB9"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Federal Acquisition Certification Coursework</w:t>
      </w:r>
    </w:p>
    <w:p w14:paraId="3FBFE7B8" w14:textId="77777777" w:rsidR="00A406AE" w:rsidRPr="00A406AE" w:rsidRDefault="00A406AE" w:rsidP="00556AD2">
      <w:pPr>
        <w:spacing w:after="120" w:line="240" w:lineRule="auto"/>
        <w:rPr>
          <w:rFonts w:ascii="Arial" w:eastAsia="Calibri" w:hAnsi="Arial" w:cs="Arial"/>
          <w:sz w:val="24"/>
          <w:szCs w:val="24"/>
        </w:rPr>
      </w:pPr>
      <w:r w:rsidRPr="00A406AE">
        <w:rPr>
          <w:rFonts w:ascii="Arial" w:eastAsia="Calibri" w:hAnsi="Arial" w:cs="Arial"/>
          <w:sz w:val="24"/>
          <w:szCs w:val="24"/>
        </w:rPr>
        <w:t xml:space="preserve">CON courses and other Federal Acquisition Certification required courses can be found at the </w:t>
      </w:r>
      <w:hyperlink r:id="rId66" w:tooltip="NIH Training Center" w:history="1">
        <w:r w:rsidRPr="00A406AE">
          <w:rPr>
            <w:rFonts w:ascii="Arial" w:eastAsia="Calibri" w:hAnsi="Arial" w:cs="Arial"/>
            <w:color w:val="0563C1"/>
            <w:sz w:val="24"/>
            <w:szCs w:val="24"/>
            <w:u w:val="single"/>
          </w:rPr>
          <w:t>NIH Training Center</w:t>
        </w:r>
      </w:hyperlink>
      <w:r w:rsidRPr="00A406AE">
        <w:rPr>
          <w:rFonts w:ascii="Arial" w:eastAsia="Calibri" w:hAnsi="Arial" w:cs="Arial"/>
          <w:sz w:val="24"/>
          <w:szCs w:val="24"/>
        </w:rPr>
        <w:t xml:space="preserve">, </w:t>
      </w:r>
      <w:hyperlink r:id="rId67" w:tooltip="Federal Acquisition Institute" w:history="1">
        <w:r w:rsidRPr="00A406AE">
          <w:rPr>
            <w:rFonts w:ascii="Arial" w:eastAsia="Calibri" w:hAnsi="Arial" w:cs="Arial"/>
            <w:color w:val="0563C1"/>
            <w:sz w:val="24"/>
            <w:szCs w:val="24"/>
            <w:u w:val="single"/>
          </w:rPr>
          <w:t>Federal Acquisition Institute</w:t>
        </w:r>
      </w:hyperlink>
      <w:r w:rsidRPr="00A406AE">
        <w:rPr>
          <w:rFonts w:ascii="Arial" w:eastAsia="Calibri" w:hAnsi="Arial" w:cs="Arial"/>
          <w:sz w:val="24"/>
          <w:szCs w:val="24"/>
        </w:rPr>
        <w:t xml:space="preserve">, and </w:t>
      </w:r>
      <w:hyperlink r:id="rId68" w:tooltip="DAU Training Center" w:history="1">
        <w:r w:rsidRPr="00A406AE">
          <w:rPr>
            <w:rFonts w:ascii="Arial" w:eastAsia="Calibri" w:hAnsi="Arial" w:cs="Arial"/>
            <w:color w:val="0563C1"/>
            <w:sz w:val="24"/>
            <w:szCs w:val="24"/>
            <w:u w:val="single"/>
          </w:rPr>
          <w:t>Defense Acquisition University</w:t>
        </w:r>
      </w:hyperlink>
      <w:r w:rsidRPr="00A406AE">
        <w:rPr>
          <w:rFonts w:ascii="Arial" w:eastAsia="Calibri" w:hAnsi="Arial" w:cs="Arial"/>
          <w:sz w:val="24"/>
          <w:szCs w:val="24"/>
        </w:rPr>
        <w:t>.</w:t>
      </w:r>
    </w:p>
    <w:p w14:paraId="40294447" w14:textId="08BD997C" w:rsidR="00A406AE" w:rsidRPr="00A406AE" w:rsidRDefault="00A406AE" w:rsidP="00556AD2">
      <w:pPr>
        <w:tabs>
          <w:tab w:val="left" w:pos="6828"/>
        </w:tabs>
        <w:spacing w:after="0" w:line="240" w:lineRule="auto"/>
        <w:contextualSpacing/>
        <w:rPr>
          <w:rFonts w:ascii="Arial" w:eastAsia="Calibri" w:hAnsi="Arial" w:cs="Arial"/>
          <w:b/>
          <w:bCs/>
          <w:sz w:val="28"/>
          <w:szCs w:val="28"/>
        </w:rPr>
      </w:pPr>
      <w:r w:rsidRPr="00A406AE">
        <w:rPr>
          <w:rFonts w:ascii="Arial" w:eastAsia="Calibri" w:hAnsi="Arial" w:cs="Arial"/>
          <w:b/>
          <w:bCs/>
          <w:sz w:val="28"/>
          <w:szCs w:val="28"/>
        </w:rPr>
        <w:t>Section 508 Accessibility Training</w:t>
      </w:r>
      <w:r w:rsidR="00122BB7">
        <w:rPr>
          <w:rFonts w:ascii="Arial" w:eastAsia="Calibri" w:hAnsi="Arial" w:cs="Arial"/>
          <w:b/>
          <w:bCs/>
          <w:sz w:val="28"/>
          <w:szCs w:val="28"/>
        </w:rPr>
        <w:tab/>
      </w:r>
    </w:p>
    <w:p w14:paraId="0A2D27BF" w14:textId="77777777" w:rsidR="00A406AE" w:rsidRPr="00A406AE" w:rsidRDefault="00A406AE" w:rsidP="00556AD2">
      <w:pPr>
        <w:spacing w:after="120" w:line="240" w:lineRule="auto"/>
        <w:rPr>
          <w:rFonts w:ascii="Arial" w:eastAsia="Calibri" w:hAnsi="Arial" w:cs="Arial"/>
          <w:sz w:val="24"/>
          <w:szCs w:val="24"/>
        </w:rPr>
      </w:pPr>
      <w:r w:rsidRPr="00A406AE">
        <w:rPr>
          <w:rFonts w:ascii="Arial" w:eastAsia="Calibri" w:hAnsi="Arial" w:cs="Arial"/>
          <w:sz w:val="24"/>
          <w:szCs w:val="24"/>
        </w:rPr>
        <w:t>Section 508 Accessibility Training courses can be accessed at</w:t>
      </w:r>
      <w:bookmarkStart w:id="5" w:name="_Hlk419199521"/>
      <w:r w:rsidRPr="00A406AE">
        <w:rPr>
          <w:rFonts w:ascii="Arial" w:eastAsia="Calibri" w:hAnsi="Arial" w:cs="Arial"/>
          <w:sz w:val="24"/>
          <w:szCs w:val="24"/>
        </w:rPr>
        <w:t xml:space="preserve">: </w:t>
      </w:r>
      <w:hyperlink r:id="rId69" w:tooltip="CIT 508 Training Webpage" w:history="1">
        <w:bookmarkEnd w:id="5"/>
        <w:r w:rsidRPr="00A406AE">
          <w:rPr>
            <w:rFonts w:ascii="Arial" w:eastAsia="Calibri" w:hAnsi="Arial" w:cs="Arial"/>
            <w:color w:val="0563C1"/>
            <w:sz w:val="24"/>
            <w:szCs w:val="24"/>
            <w:u w:val="single"/>
          </w:rPr>
          <w:t>CIT Section 508 Accessibility Training Website</w:t>
        </w:r>
      </w:hyperlink>
      <w:r w:rsidRPr="00A406AE">
        <w:rPr>
          <w:rFonts w:ascii="Arial" w:eastAsia="Calibri" w:hAnsi="Arial" w:cs="Arial"/>
          <w:sz w:val="24"/>
          <w:szCs w:val="24"/>
        </w:rPr>
        <w:t>.</w:t>
      </w:r>
    </w:p>
    <w:p w14:paraId="015A7699" w14:textId="77777777" w:rsidR="00A406AE" w:rsidRPr="00A406AE" w:rsidRDefault="00A406AE" w:rsidP="00556AD2">
      <w:pPr>
        <w:keepNext/>
        <w:keepLines/>
        <w:spacing w:after="0" w:line="240" w:lineRule="auto"/>
        <w:outlineLvl w:val="1"/>
        <w:rPr>
          <w:rFonts w:ascii="Arial" w:eastAsia="Times New Roman" w:hAnsi="Arial" w:cs="Arial"/>
          <w:b/>
          <w:bCs/>
          <w:color w:val="000000"/>
          <w:sz w:val="28"/>
          <w:szCs w:val="28"/>
        </w:rPr>
      </w:pPr>
      <w:r w:rsidRPr="00A406AE">
        <w:rPr>
          <w:rFonts w:ascii="Arial" w:eastAsia="Times New Roman" w:hAnsi="Arial" w:cs="Arial"/>
          <w:b/>
          <w:bCs/>
          <w:color w:val="000000"/>
          <w:sz w:val="28"/>
          <w:szCs w:val="28"/>
        </w:rPr>
        <w:t>Green Purchasing Training</w:t>
      </w:r>
    </w:p>
    <w:p w14:paraId="06848581" w14:textId="77777777" w:rsidR="00A406AE" w:rsidRDefault="00A406AE" w:rsidP="00556AD2">
      <w:pPr>
        <w:spacing w:after="0" w:line="240" w:lineRule="auto"/>
        <w:rPr>
          <w:rFonts w:ascii="Arial" w:eastAsia="Calibri" w:hAnsi="Arial" w:cs="Arial"/>
          <w:color w:val="000000"/>
          <w:sz w:val="24"/>
          <w:szCs w:val="24"/>
        </w:rPr>
      </w:pPr>
      <w:r w:rsidRPr="00A406AE">
        <w:rPr>
          <w:rFonts w:ascii="Arial" w:eastAsia="Calibri" w:hAnsi="Arial" w:cs="Arial"/>
          <w:color w:val="000000"/>
          <w:sz w:val="24"/>
          <w:szCs w:val="24"/>
        </w:rPr>
        <w:t xml:space="preserve">Green Purchasing Training and other Green Training courses can be found at: </w:t>
      </w:r>
      <w:hyperlink r:id="rId70" w:tooltip="OALM Green Purchasing Website" w:history="1">
        <w:r w:rsidRPr="00A406AE">
          <w:rPr>
            <w:rFonts w:ascii="Arial" w:eastAsia="Calibri" w:hAnsi="Arial" w:cs="Arial"/>
            <w:color w:val="0563C1"/>
            <w:sz w:val="24"/>
            <w:szCs w:val="24"/>
            <w:u w:val="single"/>
          </w:rPr>
          <w:t>OALM Green Purchasing Website</w:t>
        </w:r>
      </w:hyperlink>
      <w:r w:rsidRPr="00A406AE">
        <w:rPr>
          <w:rFonts w:ascii="Arial" w:eastAsia="Calibri" w:hAnsi="Arial" w:cs="Arial"/>
          <w:color w:val="000000"/>
          <w:sz w:val="24"/>
          <w:szCs w:val="24"/>
        </w:rPr>
        <w:t>.</w:t>
      </w:r>
    </w:p>
    <w:p w14:paraId="25026901" w14:textId="77777777" w:rsidR="00FE5BB8" w:rsidRDefault="00FE5BB8" w:rsidP="00556AD2">
      <w:pPr>
        <w:spacing w:after="0" w:line="240" w:lineRule="auto"/>
        <w:rPr>
          <w:rFonts w:ascii="Arial" w:eastAsia="Calibri" w:hAnsi="Arial" w:cs="Arial"/>
          <w:color w:val="000000"/>
          <w:sz w:val="24"/>
          <w:szCs w:val="24"/>
        </w:rPr>
      </w:pPr>
    </w:p>
    <w:p w14:paraId="688300BE" w14:textId="77777777" w:rsidR="00FE5BB8" w:rsidRPr="00A406AE" w:rsidRDefault="00FE5BB8" w:rsidP="00556AD2">
      <w:pPr>
        <w:spacing w:after="0" w:line="240" w:lineRule="auto"/>
        <w:rPr>
          <w:rFonts w:ascii="Arial" w:eastAsia="Calibri" w:hAnsi="Arial" w:cs="Arial"/>
          <w:color w:val="000000"/>
          <w:sz w:val="24"/>
          <w:szCs w:val="24"/>
        </w:rPr>
      </w:pPr>
    </w:p>
    <w:p w14:paraId="04C06E7A" w14:textId="77777777" w:rsidR="00FE5BB8" w:rsidRPr="00FE5BB8" w:rsidRDefault="00FE5BB8" w:rsidP="001453A1">
      <w:pPr>
        <w:pStyle w:val="Heading1"/>
      </w:pPr>
      <w:r w:rsidRPr="00FE5BB8">
        <w:t>NIH Blanket Purchase Agreement (BPA) Lists Available Online</w:t>
      </w:r>
    </w:p>
    <w:p w14:paraId="655AFA43" w14:textId="77777777" w:rsidR="00FE5BB8" w:rsidRPr="00FE5BB8" w:rsidRDefault="00FE5BB8" w:rsidP="00556AD2">
      <w:pPr>
        <w:spacing w:after="0" w:line="240" w:lineRule="auto"/>
        <w:rPr>
          <w:rFonts w:ascii="Arial" w:eastAsia="Calibri" w:hAnsi="Arial" w:cs="Arial"/>
          <w:sz w:val="24"/>
          <w:szCs w:val="24"/>
        </w:rPr>
      </w:pPr>
    </w:p>
    <w:p w14:paraId="6E3FC22A" w14:textId="77777777" w:rsidR="00FE5BB8" w:rsidRPr="00FE5BB8" w:rsidRDefault="00FE5BB8" w:rsidP="00556AD2">
      <w:pPr>
        <w:spacing w:after="120" w:line="240" w:lineRule="auto"/>
        <w:rPr>
          <w:rFonts w:ascii="Arial" w:eastAsia="Calibri" w:hAnsi="Arial" w:cs="Arial"/>
          <w:sz w:val="24"/>
          <w:szCs w:val="24"/>
        </w:rPr>
      </w:pPr>
      <w:r w:rsidRPr="00FE5BB8">
        <w:rPr>
          <w:rFonts w:ascii="Arial" w:eastAsia="Calibri" w:hAnsi="Arial" w:cs="Arial"/>
          <w:sz w:val="24"/>
          <w:szCs w:val="24"/>
        </w:rPr>
        <w:t xml:space="preserve">Lists of all NIH Blanket Purchase Agreements (BPAs) can be found at the NIH Blanket Purchase Agreement </w:t>
      </w:r>
      <w:hyperlink r:id="rId71" w:tooltip="NIH Blanket Purchase Agreement webpage" w:history="1">
        <w:r w:rsidRPr="00FE5BB8">
          <w:rPr>
            <w:rFonts w:ascii="Arial" w:eastAsia="Calibri" w:hAnsi="Arial" w:cs="Arial"/>
            <w:color w:val="0563C1"/>
            <w:sz w:val="24"/>
            <w:szCs w:val="24"/>
            <w:u w:val="single"/>
          </w:rPr>
          <w:t>webpage</w:t>
        </w:r>
      </w:hyperlink>
      <w:r w:rsidRPr="00FE5BB8">
        <w:rPr>
          <w:rFonts w:ascii="Arial" w:eastAsia="Calibri" w:hAnsi="Arial" w:cs="Arial"/>
          <w:sz w:val="24"/>
          <w:szCs w:val="24"/>
        </w:rPr>
        <w:t>.</w:t>
      </w:r>
    </w:p>
    <w:p w14:paraId="1F08BFB1" w14:textId="77777777" w:rsidR="00FE5BB8" w:rsidRPr="00FE5BB8" w:rsidRDefault="00FE5BB8" w:rsidP="00556AD2">
      <w:pPr>
        <w:spacing w:after="120" w:line="240" w:lineRule="auto"/>
        <w:rPr>
          <w:rFonts w:ascii="Arial" w:eastAsia="Calibri" w:hAnsi="Arial" w:cs="Arial"/>
          <w:sz w:val="24"/>
          <w:szCs w:val="24"/>
        </w:rPr>
      </w:pPr>
      <w:r w:rsidRPr="00FE5BB8">
        <w:rPr>
          <w:rFonts w:ascii="Arial" w:eastAsia="Calibri" w:hAnsi="Arial" w:cs="Arial"/>
          <w:sz w:val="24"/>
          <w:szCs w:val="24"/>
        </w:rPr>
        <w:t>This location contains Two BPA Lists:</w:t>
      </w:r>
    </w:p>
    <w:p w14:paraId="2DAEBBA6" w14:textId="2CC77F95" w:rsidR="00FE5BB8" w:rsidRPr="00FE5BB8" w:rsidRDefault="00FE5BB8" w:rsidP="00556AD2">
      <w:pPr>
        <w:spacing w:after="0" w:line="240" w:lineRule="auto"/>
        <w:ind w:left="450"/>
        <w:rPr>
          <w:rFonts w:ascii="Arial" w:eastAsia="Calibri" w:hAnsi="Arial" w:cs="Arial"/>
          <w:sz w:val="24"/>
          <w:szCs w:val="24"/>
        </w:rPr>
      </w:pPr>
      <w:r w:rsidRPr="00FE5BB8">
        <w:rPr>
          <w:rFonts w:ascii="Arial" w:eastAsia="Calibri" w:hAnsi="Arial" w:cs="Arial"/>
          <w:sz w:val="24"/>
          <w:szCs w:val="24"/>
        </w:rPr>
        <w:t>1.  Complete vendor alphabetical list;</w:t>
      </w:r>
      <w:r w:rsidR="00A8321E" w:rsidRPr="00A8321E">
        <w:rPr>
          <w:rFonts w:ascii="Arial" w:eastAsia="Calibri" w:hAnsi="Arial" w:cs="Arial"/>
          <w:sz w:val="24"/>
          <w:szCs w:val="24"/>
        </w:rPr>
        <w:t xml:space="preserve"> </w:t>
      </w:r>
      <w:r w:rsidR="00A8321E" w:rsidRPr="00FE5BB8">
        <w:rPr>
          <w:rFonts w:ascii="Arial" w:eastAsia="Calibri" w:hAnsi="Arial" w:cs="Arial"/>
          <w:sz w:val="24"/>
          <w:szCs w:val="24"/>
        </w:rPr>
        <w:t>and</w:t>
      </w:r>
    </w:p>
    <w:p w14:paraId="23619AAF" w14:textId="5FF383F3" w:rsidR="00FE5BB8" w:rsidRPr="00FE5BB8" w:rsidRDefault="00FE5BB8" w:rsidP="00556AD2">
      <w:pPr>
        <w:spacing w:after="120" w:line="240" w:lineRule="auto"/>
        <w:ind w:left="446"/>
        <w:rPr>
          <w:rFonts w:ascii="Arial" w:eastAsia="Calibri" w:hAnsi="Arial" w:cs="Arial"/>
          <w:sz w:val="24"/>
          <w:szCs w:val="24"/>
        </w:rPr>
      </w:pPr>
      <w:r w:rsidRPr="00FE5BB8">
        <w:rPr>
          <w:rFonts w:ascii="Arial" w:eastAsia="Calibri" w:hAnsi="Arial" w:cs="Arial"/>
          <w:sz w:val="24"/>
          <w:szCs w:val="24"/>
        </w:rPr>
        <w:t>2.  Vendor list sorted by commodity</w:t>
      </w:r>
      <w:r w:rsidR="00A8321E">
        <w:rPr>
          <w:rFonts w:ascii="Arial" w:eastAsia="Calibri" w:hAnsi="Arial" w:cs="Arial"/>
          <w:sz w:val="24"/>
          <w:szCs w:val="24"/>
        </w:rPr>
        <w:t>.</w:t>
      </w:r>
      <w:r w:rsidRPr="00FE5BB8">
        <w:rPr>
          <w:rFonts w:ascii="Arial" w:eastAsia="Calibri" w:hAnsi="Arial" w:cs="Arial"/>
          <w:sz w:val="24"/>
          <w:szCs w:val="24"/>
        </w:rPr>
        <w:t xml:space="preserve"> </w:t>
      </w:r>
    </w:p>
    <w:p w14:paraId="7277FB12" w14:textId="77777777" w:rsidR="00FE5BB8" w:rsidRDefault="00FE5BB8" w:rsidP="00556AD2">
      <w:pPr>
        <w:spacing w:after="0" w:line="240" w:lineRule="auto"/>
        <w:rPr>
          <w:rFonts w:ascii="Arial" w:eastAsia="Calibri" w:hAnsi="Arial" w:cs="Arial"/>
          <w:sz w:val="24"/>
          <w:szCs w:val="24"/>
        </w:rPr>
      </w:pPr>
      <w:r w:rsidRPr="00FE5BB8">
        <w:rPr>
          <w:rFonts w:ascii="Arial" w:eastAsia="Calibri" w:hAnsi="Arial" w:cs="Arial"/>
          <w:sz w:val="24"/>
          <w:szCs w:val="24"/>
        </w:rPr>
        <w:t xml:space="preserve">If you have any questions or need further clarification, please contact the BPA helpline at 301-496-5212 or </w:t>
      </w:r>
      <w:hyperlink r:id="rId72" w:tooltip="BPA Program Helpdesk email" w:history="1">
        <w:r w:rsidRPr="00FE5BB8">
          <w:rPr>
            <w:rFonts w:ascii="Arial" w:eastAsia="Calibri" w:hAnsi="Arial" w:cs="Arial"/>
            <w:color w:val="0563C1"/>
            <w:sz w:val="24"/>
            <w:szCs w:val="24"/>
            <w:u w:val="single"/>
          </w:rPr>
          <w:t>email</w:t>
        </w:r>
      </w:hyperlink>
      <w:r w:rsidRPr="00FE5BB8">
        <w:rPr>
          <w:rFonts w:ascii="Arial" w:eastAsia="Calibri" w:hAnsi="Arial" w:cs="Arial"/>
          <w:sz w:val="24"/>
          <w:szCs w:val="24"/>
        </w:rPr>
        <w:t>.</w:t>
      </w:r>
    </w:p>
    <w:p w14:paraId="7FE7D706" w14:textId="77777777" w:rsidR="00C1069A" w:rsidRDefault="00C1069A" w:rsidP="00556AD2">
      <w:pPr>
        <w:spacing w:after="0" w:line="240" w:lineRule="auto"/>
        <w:rPr>
          <w:rFonts w:ascii="Arial" w:eastAsia="Calibri" w:hAnsi="Arial" w:cs="Arial"/>
          <w:sz w:val="24"/>
          <w:szCs w:val="24"/>
        </w:rPr>
      </w:pPr>
    </w:p>
    <w:p w14:paraId="7C30FA2F" w14:textId="77777777" w:rsidR="00C1069A" w:rsidRPr="00FE5BB8" w:rsidRDefault="00C1069A" w:rsidP="00556AD2">
      <w:pPr>
        <w:spacing w:after="0" w:line="240" w:lineRule="auto"/>
        <w:rPr>
          <w:rFonts w:ascii="Arial" w:eastAsia="Calibri" w:hAnsi="Arial" w:cs="Times New Roman"/>
          <w:sz w:val="24"/>
        </w:rPr>
      </w:pPr>
    </w:p>
    <w:p w14:paraId="7DFAEAC3" w14:textId="3357FA0A" w:rsidR="00C1069A" w:rsidRDefault="00C1069A" w:rsidP="001453A1">
      <w:pPr>
        <w:pStyle w:val="Heading1"/>
      </w:pPr>
      <w:r w:rsidRPr="00C1069A">
        <w:t>THANKS!</w:t>
      </w:r>
    </w:p>
    <w:p w14:paraId="1E0D2743" w14:textId="77777777" w:rsidR="00C1069A" w:rsidRPr="00C1069A" w:rsidRDefault="00C1069A" w:rsidP="00556AD2">
      <w:pPr>
        <w:spacing w:after="120" w:line="240" w:lineRule="auto"/>
        <w:rPr>
          <w:rFonts w:ascii="Arial" w:eastAsia="Calibri" w:hAnsi="Arial" w:cs="Arial"/>
          <w:bCs/>
          <w:sz w:val="24"/>
          <w:szCs w:val="24"/>
        </w:rPr>
      </w:pPr>
      <w:r w:rsidRPr="00C1069A">
        <w:rPr>
          <w:rFonts w:ascii="Arial" w:eastAsia="Calibri" w:hAnsi="Arial" w:cs="Arial"/>
          <w:b/>
          <w:bCs/>
          <w:sz w:val="24"/>
          <w:szCs w:val="24"/>
        </w:rPr>
        <w:t>We would like to thank all those who contributed to this and future editions of the OALM Newsletter.</w:t>
      </w:r>
    </w:p>
    <w:p w14:paraId="79A808E2" w14:textId="39DB54FA" w:rsidR="00C1069A" w:rsidRPr="00C1069A" w:rsidRDefault="00C1069A" w:rsidP="00556AD2">
      <w:pPr>
        <w:spacing w:after="120" w:line="240" w:lineRule="auto"/>
        <w:rPr>
          <w:rFonts w:ascii="Arial" w:eastAsia="Calibri" w:hAnsi="Arial" w:cs="Arial"/>
          <w:sz w:val="24"/>
          <w:szCs w:val="24"/>
        </w:rPr>
      </w:pPr>
      <w:r w:rsidRPr="00C1069A">
        <w:rPr>
          <w:rFonts w:ascii="Arial" w:eastAsia="Calibri" w:hAnsi="Arial" w:cs="Arial"/>
          <w:sz w:val="24"/>
          <w:szCs w:val="24"/>
        </w:rPr>
        <w:t>The OALM Newsletter will be published four (4) times in calendar year 20</w:t>
      </w:r>
      <w:r w:rsidR="004667B5">
        <w:rPr>
          <w:rFonts w:ascii="Arial" w:eastAsia="Calibri" w:hAnsi="Arial" w:cs="Arial"/>
          <w:sz w:val="24"/>
          <w:szCs w:val="24"/>
        </w:rPr>
        <w:t>2</w:t>
      </w:r>
      <w:r w:rsidR="00CE0D4B">
        <w:rPr>
          <w:rFonts w:ascii="Arial" w:eastAsia="Calibri" w:hAnsi="Arial" w:cs="Arial"/>
          <w:sz w:val="24"/>
          <w:szCs w:val="24"/>
        </w:rPr>
        <w:t>1</w:t>
      </w:r>
      <w:r w:rsidRPr="00C1069A">
        <w:rPr>
          <w:rFonts w:ascii="Arial" w:eastAsia="Calibri" w:hAnsi="Arial" w:cs="Arial"/>
          <w:sz w:val="24"/>
          <w:szCs w:val="24"/>
        </w:rPr>
        <w:t>. We encourage staff to submit articles that would be of interest to our readers. We will do our best to include such articles in future editions of the OALM Newsletter.</w:t>
      </w:r>
    </w:p>
    <w:p w14:paraId="3E69B43F" w14:textId="31B2A074" w:rsidR="00C1069A" w:rsidRPr="00C1069A" w:rsidRDefault="00C1069A" w:rsidP="00556AD2">
      <w:pPr>
        <w:spacing w:after="120" w:line="240" w:lineRule="auto"/>
        <w:rPr>
          <w:rFonts w:ascii="Arial" w:eastAsia="Calibri" w:hAnsi="Arial" w:cs="Arial"/>
          <w:color w:val="0000FF"/>
          <w:position w:val="-1"/>
          <w:sz w:val="24"/>
          <w:szCs w:val="24"/>
        </w:rPr>
      </w:pPr>
      <w:r w:rsidRPr="00C1069A">
        <w:rPr>
          <w:rFonts w:ascii="Arial" w:eastAsia="Calibri" w:hAnsi="Arial" w:cs="Arial"/>
          <w:sz w:val="24"/>
          <w:szCs w:val="24"/>
        </w:rPr>
        <w:t>P</w:t>
      </w:r>
      <w:r w:rsidRPr="00C1069A">
        <w:rPr>
          <w:rFonts w:ascii="Arial" w:eastAsia="Calibri" w:hAnsi="Arial" w:cs="Arial"/>
          <w:spacing w:val="-1"/>
          <w:sz w:val="24"/>
          <w:szCs w:val="24"/>
        </w:rPr>
        <w:t>l</w:t>
      </w:r>
      <w:r w:rsidRPr="00C1069A">
        <w:rPr>
          <w:rFonts w:ascii="Arial" w:eastAsia="Calibri" w:hAnsi="Arial" w:cs="Arial"/>
          <w:sz w:val="24"/>
          <w:szCs w:val="24"/>
        </w:rPr>
        <w:t>ease</w:t>
      </w:r>
      <w:r w:rsidRPr="00C1069A">
        <w:rPr>
          <w:rFonts w:ascii="Arial" w:eastAsia="Calibri" w:hAnsi="Arial" w:cs="Arial"/>
          <w:spacing w:val="-1"/>
          <w:sz w:val="24"/>
          <w:szCs w:val="24"/>
        </w:rPr>
        <w:t xml:space="preserve"> </w:t>
      </w:r>
      <w:r w:rsidRPr="00C1069A">
        <w:rPr>
          <w:rFonts w:ascii="Arial" w:eastAsia="Calibri" w:hAnsi="Arial" w:cs="Arial"/>
          <w:sz w:val="24"/>
          <w:szCs w:val="24"/>
        </w:rPr>
        <w:t>a</w:t>
      </w:r>
      <w:r w:rsidRPr="00C1069A">
        <w:rPr>
          <w:rFonts w:ascii="Arial" w:eastAsia="Calibri" w:hAnsi="Arial" w:cs="Arial"/>
          <w:spacing w:val="-2"/>
          <w:sz w:val="24"/>
          <w:szCs w:val="24"/>
        </w:rPr>
        <w:t>d</w:t>
      </w:r>
      <w:r w:rsidRPr="00C1069A">
        <w:rPr>
          <w:rFonts w:ascii="Arial" w:eastAsia="Calibri" w:hAnsi="Arial" w:cs="Arial"/>
          <w:sz w:val="24"/>
          <w:szCs w:val="24"/>
        </w:rPr>
        <w:t>d</w:t>
      </w:r>
      <w:r w:rsidRPr="00C1069A">
        <w:rPr>
          <w:rFonts w:ascii="Arial" w:eastAsia="Calibri" w:hAnsi="Arial" w:cs="Arial"/>
          <w:spacing w:val="-1"/>
          <w:sz w:val="24"/>
          <w:szCs w:val="24"/>
        </w:rPr>
        <w:t>r</w:t>
      </w:r>
      <w:r w:rsidRPr="00C1069A">
        <w:rPr>
          <w:rFonts w:ascii="Arial" w:eastAsia="Calibri" w:hAnsi="Arial" w:cs="Arial"/>
          <w:sz w:val="24"/>
          <w:szCs w:val="24"/>
        </w:rPr>
        <w:t>ess a</w:t>
      </w:r>
      <w:r w:rsidRPr="00C1069A">
        <w:rPr>
          <w:rFonts w:ascii="Arial" w:eastAsia="Calibri" w:hAnsi="Arial" w:cs="Arial"/>
          <w:spacing w:val="-1"/>
          <w:sz w:val="24"/>
          <w:szCs w:val="24"/>
        </w:rPr>
        <w:t>l</w:t>
      </w:r>
      <w:r w:rsidRPr="00C1069A">
        <w:rPr>
          <w:rFonts w:ascii="Arial" w:eastAsia="Calibri" w:hAnsi="Arial" w:cs="Arial"/>
          <w:sz w:val="24"/>
          <w:szCs w:val="24"/>
        </w:rPr>
        <w:t>l co</w:t>
      </w:r>
      <w:r w:rsidRPr="00C1069A">
        <w:rPr>
          <w:rFonts w:ascii="Arial" w:eastAsia="Calibri" w:hAnsi="Arial" w:cs="Arial"/>
          <w:spacing w:val="-1"/>
          <w:sz w:val="24"/>
          <w:szCs w:val="24"/>
        </w:rPr>
        <w:t>r</w:t>
      </w:r>
      <w:r w:rsidRPr="00C1069A">
        <w:rPr>
          <w:rFonts w:ascii="Arial" w:eastAsia="Calibri" w:hAnsi="Arial" w:cs="Arial"/>
          <w:spacing w:val="-3"/>
          <w:sz w:val="24"/>
          <w:szCs w:val="24"/>
        </w:rPr>
        <w:t>r</w:t>
      </w:r>
      <w:r w:rsidRPr="00C1069A">
        <w:rPr>
          <w:rFonts w:ascii="Arial" w:eastAsia="Calibri" w:hAnsi="Arial" w:cs="Arial"/>
          <w:sz w:val="24"/>
          <w:szCs w:val="24"/>
        </w:rPr>
        <w:t>esp</w:t>
      </w:r>
      <w:r w:rsidRPr="00C1069A">
        <w:rPr>
          <w:rFonts w:ascii="Arial" w:eastAsia="Calibri" w:hAnsi="Arial" w:cs="Arial"/>
          <w:spacing w:val="-2"/>
          <w:sz w:val="24"/>
          <w:szCs w:val="24"/>
        </w:rPr>
        <w:t>o</w:t>
      </w:r>
      <w:r w:rsidRPr="00C1069A">
        <w:rPr>
          <w:rFonts w:ascii="Arial" w:eastAsia="Calibri" w:hAnsi="Arial" w:cs="Arial"/>
          <w:sz w:val="24"/>
          <w:szCs w:val="24"/>
        </w:rPr>
        <w:t>nd</w:t>
      </w:r>
      <w:r w:rsidRPr="00C1069A">
        <w:rPr>
          <w:rFonts w:ascii="Arial" w:eastAsia="Calibri" w:hAnsi="Arial" w:cs="Arial"/>
          <w:spacing w:val="-2"/>
          <w:sz w:val="24"/>
          <w:szCs w:val="24"/>
        </w:rPr>
        <w:t>e</w:t>
      </w:r>
      <w:r w:rsidRPr="00C1069A">
        <w:rPr>
          <w:rFonts w:ascii="Arial" w:eastAsia="Calibri" w:hAnsi="Arial" w:cs="Arial"/>
          <w:sz w:val="24"/>
          <w:szCs w:val="24"/>
        </w:rPr>
        <w:t>nce</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t</w:t>
      </w:r>
      <w:r w:rsidRPr="00C1069A">
        <w:rPr>
          <w:rFonts w:ascii="Arial" w:eastAsia="Calibri" w:hAnsi="Arial" w:cs="Arial"/>
          <w:sz w:val="24"/>
          <w:szCs w:val="24"/>
        </w:rPr>
        <w:t>o</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t</w:t>
      </w:r>
      <w:r w:rsidRPr="00C1069A">
        <w:rPr>
          <w:rFonts w:ascii="Arial" w:eastAsia="Calibri" w:hAnsi="Arial" w:cs="Arial"/>
          <w:sz w:val="24"/>
          <w:szCs w:val="24"/>
        </w:rPr>
        <w:t>he</w:t>
      </w:r>
      <w:r w:rsidRPr="00C1069A">
        <w:rPr>
          <w:rFonts w:ascii="Arial" w:eastAsia="Calibri" w:hAnsi="Arial" w:cs="Arial"/>
          <w:spacing w:val="-1"/>
          <w:sz w:val="24"/>
          <w:szCs w:val="24"/>
        </w:rPr>
        <w:t xml:space="preserve"> </w:t>
      </w:r>
      <w:r w:rsidRPr="00C1069A">
        <w:rPr>
          <w:rFonts w:ascii="Arial" w:eastAsia="Calibri" w:hAnsi="Arial" w:cs="Arial"/>
          <w:sz w:val="24"/>
          <w:szCs w:val="24"/>
        </w:rPr>
        <w:t>ed</w:t>
      </w:r>
      <w:r w:rsidRPr="00C1069A">
        <w:rPr>
          <w:rFonts w:ascii="Arial" w:eastAsia="Calibri" w:hAnsi="Arial" w:cs="Arial"/>
          <w:spacing w:val="-1"/>
          <w:sz w:val="24"/>
          <w:szCs w:val="24"/>
        </w:rPr>
        <w:t>i</w:t>
      </w:r>
      <w:r w:rsidRPr="00C1069A">
        <w:rPr>
          <w:rFonts w:ascii="Arial" w:eastAsia="Calibri" w:hAnsi="Arial" w:cs="Arial"/>
          <w:spacing w:val="-2"/>
          <w:sz w:val="24"/>
          <w:szCs w:val="24"/>
        </w:rPr>
        <w:t>t</w:t>
      </w:r>
      <w:r w:rsidRPr="00C1069A">
        <w:rPr>
          <w:rFonts w:ascii="Arial" w:eastAsia="Calibri" w:hAnsi="Arial" w:cs="Arial"/>
          <w:sz w:val="24"/>
          <w:szCs w:val="24"/>
        </w:rPr>
        <w:t>o</w:t>
      </w:r>
      <w:r w:rsidRPr="00C1069A">
        <w:rPr>
          <w:rFonts w:ascii="Arial" w:eastAsia="Calibri" w:hAnsi="Arial" w:cs="Arial"/>
          <w:spacing w:val="-1"/>
          <w:sz w:val="24"/>
          <w:szCs w:val="24"/>
        </w:rPr>
        <w:t>r</w:t>
      </w:r>
      <w:r w:rsidRPr="00C1069A">
        <w:rPr>
          <w:rFonts w:ascii="Arial" w:eastAsia="Calibri" w:hAnsi="Arial" w:cs="Arial"/>
          <w:sz w:val="24"/>
          <w:szCs w:val="24"/>
        </w:rPr>
        <w:t xml:space="preserve">s: </w:t>
      </w:r>
      <w:r w:rsidRPr="00C1069A">
        <w:rPr>
          <w:rFonts w:ascii="Arial" w:eastAsia="Calibri" w:hAnsi="Arial" w:cs="Arial"/>
          <w:spacing w:val="-1"/>
          <w:sz w:val="24"/>
          <w:szCs w:val="24"/>
        </w:rPr>
        <w:t>Mil</w:t>
      </w:r>
      <w:r w:rsidRPr="00C1069A">
        <w:rPr>
          <w:rFonts w:ascii="Arial" w:eastAsia="Calibri" w:hAnsi="Arial" w:cs="Arial"/>
          <w:sz w:val="24"/>
          <w:szCs w:val="24"/>
        </w:rPr>
        <w:t xml:space="preserve">ton Nicholas, </w:t>
      </w:r>
      <w:hyperlink r:id="rId73" w:tooltip="NicholaM@od.nih.gov" w:history="1">
        <w:r w:rsidRPr="00C1069A">
          <w:rPr>
            <w:rFonts w:ascii="Arial" w:eastAsia="Calibri" w:hAnsi="Arial" w:cs="Arial"/>
            <w:color w:val="0563C1"/>
            <w:spacing w:val="-1"/>
            <w:sz w:val="24"/>
            <w:szCs w:val="24"/>
            <w:u w:val="single" w:color="0000FF"/>
          </w:rPr>
          <w:t>Ni</w:t>
        </w:r>
        <w:r w:rsidRPr="00C1069A">
          <w:rPr>
            <w:rFonts w:ascii="Arial" w:eastAsia="Calibri" w:hAnsi="Arial" w:cs="Arial"/>
            <w:color w:val="0563C1"/>
            <w:sz w:val="24"/>
            <w:szCs w:val="24"/>
            <w:u w:val="single" w:color="0000FF"/>
          </w:rPr>
          <w:t>cho</w:t>
        </w:r>
        <w:r w:rsidRPr="00C1069A">
          <w:rPr>
            <w:rFonts w:ascii="Arial" w:eastAsia="Calibri" w:hAnsi="Arial" w:cs="Arial"/>
            <w:color w:val="0563C1"/>
            <w:spacing w:val="-1"/>
            <w:sz w:val="24"/>
            <w:szCs w:val="24"/>
            <w:u w:val="single" w:color="0000FF"/>
          </w:rPr>
          <w:t>l</w:t>
        </w:r>
        <w:r w:rsidRPr="00C1069A">
          <w:rPr>
            <w:rFonts w:ascii="Arial" w:eastAsia="Calibri" w:hAnsi="Arial" w:cs="Arial"/>
            <w:color w:val="0563C1"/>
            <w:sz w:val="24"/>
            <w:szCs w:val="24"/>
            <w:u w:val="single" w:color="0000FF"/>
          </w:rPr>
          <w:t>a</w:t>
        </w:r>
        <w:r w:rsidRPr="00C1069A">
          <w:rPr>
            <w:rFonts w:ascii="Arial" w:eastAsia="Calibri" w:hAnsi="Arial" w:cs="Arial"/>
            <w:color w:val="0563C1"/>
            <w:spacing w:val="-1"/>
            <w:sz w:val="24"/>
            <w:szCs w:val="24"/>
            <w:u w:val="single" w:color="0000FF"/>
          </w:rPr>
          <w:t>M</w:t>
        </w:r>
        <w:r w:rsidRPr="00C1069A">
          <w:rPr>
            <w:rFonts w:ascii="Arial" w:eastAsia="Calibri" w:hAnsi="Arial" w:cs="Arial"/>
            <w:color w:val="0563C1"/>
            <w:sz w:val="24"/>
            <w:szCs w:val="24"/>
            <w:u w:val="single" w:color="0000FF"/>
          </w:rPr>
          <w:t>@</w:t>
        </w:r>
        <w:r w:rsidRPr="00C1069A">
          <w:rPr>
            <w:rFonts w:ascii="Arial" w:eastAsia="Calibri" w:hAnsi="Arial" w:cs="Arial"/>
            <w:color w:val="0563C1"/>
            <w:spacing w:val="-1"/>
            <w:sz w:val="24"/>
            <w:szCs w:val="24"/>
            <w:u w:val="single" w:color="0000FF"/>
          </w:rPr>
          <w:t>o</w:t>
        </w:r>
        <w:r w:rsidRPr="00C1069A">
          <w:rPr>
            <w:rFonts w:ascii="Arial" w:eastAsia="Calibri" w:hAnsi="Arial" w:cs="Arial"/>
            <w:color w:val="0563C1"/>
            <w:sz w:val="24"/>
            <w:szCs w:val="24"/>
            <w:u w:val="single" w:color="0000FF"/>
          </w:rPr>
          <w:t>d.n</w:t>
        </w:r>
        <w:r w:rsidRPr="00C1069A">
          <w:rPr>
            <w:rFonts w:ascii="Arial" w:eastAsia="Calibri" w:hAnsi="Arial" w:cs="Arial"/>
            <w:color w:val="0563C1"/>
            <w:spacing w:val="-1"/>
            <w:sz w:val="24"/>
            <w:szCs w:val="24"/>
            <w:u w:val="single" w:color="0000FF"/>
          </w:rPr>
          <w:t>i</w:t>
        </w:r>
        <w:r w:rsidRPr="00C1069A">
          <w:rPr>
            <w:rFonts w:ascii="Arial" w:eastAsia="Calibri" w:hAnsi="Arial" w:cs="Arial"/>
            <w:color w:val="0563C1"/>
            <w:sz w:val="24"/>
            <w:szCs w:val="24"/>
            <w:u w:val="single" w:color="0000FF"/>
          </w:rPr>
          <w:t>h.</w:t>
        </w:r>
        <w:r w:rsidRPr="00C1069A">
          <w:rPr>
            <w:rFonts w:ascii="Arial" w:eastAsia="Calibri" w:hAnsi="Arial" w:cs="Arial"/>
            <w:color w:val="0563C1"/>
            <w:spacing w:val="-1"/>
            <w:sz w:val="24"/>
            <w:szCs w:val="24"/>
            <w:u w:val="single" w:color="0000FF"/>
          </w:rPr>
          <w:t>g</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v</w:t>
        </w:r>
      </w:hyperlink>
      <w:r w:rsidRPr="00C1069A">
        <w:rPr>
          <w:rFonts w:ascii="Arial" w:eastAsia="Calibri" w:hAnsi="Arial" w:cs="Arial"/>
          <w:color w:val="000000"/>
          <w:sz w:val="24"/>
          <w:szCs w:val="24"/>
        </w:rPr>
        <w:t xml:space="preserve">, </w:t>
      </w:r>
      <w:r w:rsidR="002743A6">
        <w:rPr>
          <w:rFonts w:ascii="Arial" w:eastAsia="Calibri" w:hAnsi="Arial" w:cs="Arial"/>
          <w:color w:val="000000"/>
          <w:sz w:val="24"/>
          <w:szCs w:val="24"/>
        </w:rPr>
        <w:t xml:space="preserve">Michele </w:t>
      </w:r>
      <w:r w:rsidRPr="00C1069A">
        <w:rPr>
          <w:rFonts w:ascii="Arial" w:eastAsia="Calibri" w:hAnsi="Arial" w:cs="Arial"/>
          <w:spacing w:val="-1"/>
          <w:sz w:val="24"/>
          <w:szCs w:val="24"/>
        </w:rPr>
        <w:t>M</w:t>
      </w:r>
      <w:r w:rsidRPr="00C1069A">
        <w:rPr>
          <w:rFonts w:ascii="Arial" w:eastAsia="Calibri" w:hAnsi="Arial" w:cs="Arial"/>
          <w:sz w:val="24"/>
          <w:szCs w:val="24"/>
        </w:rPr>
        <w:t>c</w:t>
      </w:r>
      <w:r w:rsidRPr="00C1069A">
        <w:rPr>
          <w:rFonts w:ascii="Arial" w:eastAsia="Calibri" w:hAnsi="Arial" w:cs="Arial"/>
          <w:spacing w:val="-1"/>
          <w:sz w:val="24"/>
          <w:szCs w:val="24"/>
        </w:rPr>
        <w:t>D</w:t>
      </w:r>
      <w:r w:rsidRPr="00C1069A">
        <w:rPr>
          <w:rFonts w:ascii="Arial" w:eastAsia="Calibri" w:hAnsi="Arial" w:cs="Arial"/>
          <w:sz w:val="24"/>
          <w:szCs w:val="24"/>
        </w:rPr>
        <w:t>e</w:t>
      </w:r>
      <w:r w:rsidRPr="00C1069A">
        <w:rPr>
          <w:rFonts w:ascii="Arial" w:eastAsia="Calibri" w:hAnsi="Arial" w:cs="Arial"/>
          <w:spacing w:val="-1"/>
          <w:sz w:val="24"/>
          <w:szCs w:val="24"/>
        </w:rPr>
        <w:t>r</w:t>
      </w:r>
      <w:r w:rsidRPr="00C1069A">
        <w:rPr>
          <w:rFonts w:ascii="Arial" w:eastAsia="Calibri" w:hAnsi="Arial" w:cs="Arial"/>
          <w:spacing w:val="2"/>
          <w:sz w:val="24"/>
          <w:szCs w:val="24"/>
        </w:rPr>
        <w:t>m</w:t>
      </w:r>
      <w:r w:rsidRPr="00C1069A">
        <w:rPr>
          <w:rFonts w:ascii="Arial" w:eastAsia="Calibri" w:hAnsi="Arial" w:cs="Arial"/>
          <w:sz w:val="24"/>
          <w:szCs w:val="24"/>
        </w:rPr>
        <w:t xml:space="preserve">ott, </w:t>
      </w:r>
      <w:hyperlink r:id="rId74" w:tooltip="McDermottMl@od.nih.gov" w:history="1">
        <w:r w:rsidRPr="00C1069A">
          <w:rPr>
            <w:rFonts w:ascii="Arial" w:eastAsia="Calibri" w:hAnsi="Arial" w:cs="Arial"/>
            <w:color w:val="0563C1"/>
            <w:spacing w:val="-1"/>
            <w:sz w:val="24"/>
            <w:szCs w:val="24"/>
            <w:u w:val="single" w:color="0000FF"/>
          </w:rPr>
          <w:t>M</w:t>
        </w:r>
        <w:r w:rsidRPr="00C1069A">
          <w:rPr>
            <w:rFonts w:ascii="Arial" w:eastAsia="Calibri" w:hAnsi="Arial" w:cs="Arial"/>
            <w:color w:val="0563C1"/>
            <w:sz w:val="24"/>
            <w:szCs w:val="24"/>
            <w:u w:val="single" w:color="0000FF"/>
          </w:rPr>
          <w:t>c</w:t>
        </w:r>
        <w:r w:rsidRPr="00C1069A">
          <w:rPr>
            <w:rFonts w:ascii="Arial" w:eastAsia="Calibri" w:hAnsi="Arial" w:cs="Arial"/>
            <w:color w:val="0563C1"/>
            <w:spacing w:val="-1"/>
            <w:sz w:val="24"/>
            <w:szCs w:val="24"/>
            <w:u w:val="single" w:color="0000FF"/>
          </w:rPr>
          <w:t>D</w:t>
        </w:r>
        <w:r w:rsidRPr="00C1069A">
          <w:rPr>
            <w:rFonts w:ascii="Arial" w:eastAsia="Calibri" w:hAnsi="Arial" w:cs="Arial"/>
            <w:color w:val="0563C1"/>
            <w:sz w:val="24"/>
            <w:szCs w:val="24"/>
            <w:u w:val="single" w:color="0000FF"/>
          </w:rPr>
          <w:t>e</w:t>
        </w:r>
        <w:r w:rsidRPr="00C1069A">
          <w:rPr>
            <w:rFonts w:ascii="Arial" w:eastAsia="Calibri" w:hAnsi="Arial" w:cs="Arial"/>
            <w:color w:val="0563C1"/>
            <w:spacing w:val="-1"/>
            <w:sz w:val="24"/>
            <w:szCs w:val="24"/>
            <w:u w:val="single" w:color="0000FF"/>
          </w:rPr>
          <w:t>r</w:t>
        </w:r>
        <w:r w:rsidRPr="00C1069A">
          <w:rPr>
            <w:rFonts w:ascii="Arial" w:eastAsia="Calibri" w:hAnsi="Arial" w:cs="Arial"/>
            <w:color w:val="0563C1"/>
            <w:spacing w:val="2"/>
            <w:sz w:val="24"/>
            <w:szCs w:val="24"/>
            <w:u w:val="single" w:color="0000FF"/>
          </w:rPr>
          <w:t>m</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t</w:t>
        </w:r>
        <w:r w:rsidRPr="00C1069A">
          <w:rPr>
            <w:rFonts w:ascii="Arial" w:eastAsia="Calibri" w:hAnsi="Arial" w:cs="Arial"/>
            <w:color w:val="0563C1"/>
            <w:sz w:val="24"/>
            <w:szCs w:val="24"/>
            <w:u w:val="single" w:color="0000FF"/>
          </w:rPr>
          <w:t>t</w:t>
        </w:r>
        <w:r w:rsidRPr="00C1069A">
          <w:rPr>
            <w:rFonts w:ascii="Arial" w:eastAsia="Calibri" w:hAnsi="Arial" w:cs="Arial"/>
            <w:color w:val="0563C1"/>
            <w:spacing w:val="-1"/>
            <w:sz w:val="24"/>
            <w:szCs w:val="24"/>
            <w:u w:val="single" w:color="0000FF"/>
          </w:rPr>
          <w:t>Ml</w:t>
        </w:r>
        <w:r w:rsidRPr="00C1069A">
          <w:rPr>
            <w:rFonts w:ascii="Arial" w:eastAsia="Calibri" w:hAnsi="Arial" w:cs="Arial"/>
            <w:color w:val="0563C1"/>
            <w:sz w:val="24"/>
            <w:szCs w:val="24"/>
            <w:u w:val="single" w:color="0000FF"/>
          </w:rPr>
          <w:t>@od</w:t>
        </w:r>
        <w:r w:rsidRPr="00C1069A">
          <w:rPr>
            <w:rFonts w:ascii="Arial" w:eastAsia="Calibri" w:hAnsi="Arial" w:cs="Arial"/>
            <w:color w:val="0563C1"/>
            <w:spacing w:val="-2"/>
            <w:sz w:val="24"/>
            <w:szCs w:val="24"/>
            <w:u w:val="single" w:color="0000FF"/>
          </w:rPr>
          <w:t>.</w:t>
        </w:r>
        <w:r w:rsidRPr="00C1069A">
          <w:rPr>
            <w:rFonts w:ascii="Arial" w:eastAsia="Calibri" w:hAnsi="Arial" w:cs="Arial"/>
            <w:color w:val="0563C1"/>
            <w:sz w:val="24"/>
            <w:szCs w:val="24"/>
            <w:u w:val="single" w:color="0000FF"/>
          </w:rPr>
          <w:t>n</w:t>
        </w:r>
        <w:r w:rsidRPr="00C1069A">
          <w:rPr>
            <w:rFonts w:ascii="Arial" w:eastAsia="Calibri" w:hAnsi="Arial" w:cs="Arial"/>
            <w:color w:val="0563C1"/>
            <w:spacing w:val="-1"/>
            <w:sz w:val="24"/>
            <w:szCs w:val="24"/>
            <w:u w:val="single" w:color="0000FF"/>
          </w:rPr>
          <w:t>i</w:t>
        </w:r>
        <w:r w:rsidRPr="00C1069A">
          <w:rPr>
            <w:rFonts w:ascii="Arial" w:eastAsia="Calibri" w:hAnsi="Arial" w:cs="Arial"/>
            <w:color w:val="0563C1"/>
            <w:sz w:val="24"/>
            <w:szCs w:val="24"/>
            <w:u w:val="single" w:color="0000FF"/>
          </w:rPr>
          <w:t>h.</w:t>
        </w:r>
        <w:r w:rsidRPr="00C1069A">
          <w:rPr>
            <w:rFonts w:ascii="Arial" w:eastAsia="Calibri" w:hAnsi="Arial" w:cs="Arial"/>
            <w:color w:val="0563C1"/>
            <w:spacing w:val="-1"/>
            <w:sz w:val="24"/>
            <w:szCs w:val="24"/>
            <w:u w:val="single" w:color="0000FF"/>
          </w:rPr>
          <w:t>g</w:t>
        </w:r>
        <w:r w:rsidRPr="00C1069A">
          <w:rPr>
            <w:rFonts w:ascii="Arial" w:eastAsia="Calibri" w:hAnsi="Arial" w:cs="Arial"/>
            <w:color w:val="0563C1"/>
            <w:sz w:val="24"/>
            <w:szCs w:val="24"/>
            <w:u w:val="single" w:color="0000FF"/>
          </w:rPr>
          <w:t>o</w:t>
        </w:r>
        <w:r w:rsidRPr="00C1069A">
          <w:rPr>
            <w:rFonts w:ascii="Arial" w:eastAsia="Calibri" w:hAnsi="Arial" w:cs="Arial"/>
            <w:color w:val="0563C1"/>
            <w:spacing w:val="-2"/>
            <w:sz w:val="24"/>
            <w:szCs w:val="24"/>
            <w:u w:val="single" w:color="0000FF"/>
          </w:rPr>
          <w:t>v</w:t>
        </w:r>
      </w:hyperlink>
      <w:r w:rsidRPr="00C1069A">
        <w:rPr>
          <w:rFonts w:ascii="Arial" w:eastAsia="Calibri" w:hAnsi="Arial" w:cs="Arial"/>
          <w:sz w:val="24"/>
          <w:szCs w:val="24"/>
        </w:rPr>
        <w:t>, Jesse</w:t>
      </w:r>
      <w:r w:rsidRPr="00C1069A">
        <w:rPr>
          <w:rFonts w:ascii="Arial" w:eastAsia="Calibri" w:hAnsi="Arial" w:cs="Arial"/>
          <w:spacing w:val="-1"/>
          <w:sz w:val="24"/>
          <w:szCs w:val="24"/>
        </w:rPr>
        <w:t xml:space="preserve"> </w:t>
      </w:r>
      <w:r w:rsidRPr="00C1069A">
        <w:rPr>
          <w:rFonts w:ascii="Arial" w:eastAsia="Calibri" w:hAnsi="Arial" w:cs="Arial"/>
          <w:sz w:val="24"/>
          <w:szCs w:val="24"/>
        </w:rPr>
        <w:t>Lee</w:t>
      </w:r>
      <w:r w:rsidRPr="00C1069A">
        <w:rPr>
          <w:rFonts w:ascii="Arial" w:eastAsia="Calibri" w:hAnsi="Arial" w:cs="Arial"/>
          <w:spacing w:val="-1"/>
          <w:sz w:val="24"/>
          <w:szCs w:val="24"/>
        </w:rPr>
        <w:t>,</w:t>
      </w:r>
      <w:r w:rsidRPr="00C1069A">
        <w:rPr>
          <w:rFonts w:ascii="Arial" w:eastAsia="Calibri" w:hAnsi="Arial" w:cs="Arial"/>
          <w:sz w:val="24"/>
          <w:szCs w:val="24"/>
        </w:rPr>
        <w:t xml:space="preserve"> </w:t>
      </w:r>
      <w:hyperlink r:id="rId75" w:tooltip="Jesse.Lee2@nih.gov" w:history="1">
        <w:r w:rsidRPr="00C1069A">
          <w:rPr>
            <w:rFonts w:ascii="Arial" w:eastAsia="Calibri" w:hAnsi="Arial" w:cs="Arial"/>
            <w:color w:val="0563C1"/>
            <w:sz w:val="24"/>
            <w:szCs w:val="24"/>
            <w:u w:val="single"/>
          </w:rPr>
          <w:t>Jesse</w:t>
        </w:r>
        <w:r w:rsidRPr="00C1069A">
          <w:rPr>
            <w:rFonts w:ascii="Arial" w:eastAsia="Calibri" w:hAnsi="Arial" w:cs="Arial"/>
            <w:color w:val="0563C1"/>
            <w:spacing w:val="-2"/>
            <w:sz w:val="24"/>
            <w:szCs w:val="24"/>
            <w:u w:val="single"/>
          </w:rPr>
          <w:t>.</w:t>
        </w:r>
        <w:r w:rsidRPr="00C1069A">
          <w:rPr>
            <w:rFonts w:ascii="Arial" w:eastAsia="Calibri" w:hAnsi="Arial" w:cs="Arial"/>
            <w:color w:val="0563C1"/>
            <w:sz w:val="24"/>
            <w:szCs w:val="24"/>
            <w:u w:val="single"/>
          </w:rPr>
          <w:t>Le</w:t>
        </w:r>
        <w:r w:rsidRPr="00C1069A">
          <w:rPr>
            <w:rFonts w:ascii="Arial" w:eastAsia="Calibri" w:hAnsi="Arial" w:cs="Arial"/>
            <w:color w:val="0563C1"/>
            <w:spacing w:val="-2"/>
            <w:sz w:val="24"/>
            <w:szCs w:val="24"/>
            <w:u w:val="single"/>
          </w:rPr>
          <w:t>e</w:t>
        </w:r>
        <w:r w:rsidRPr="00C1069A">
          <w:rPr>
            <w:rFonts w:ascii="Arial" w:eastAsia="Calibri" w:hAnsi="Arial" w:cs="Arial"/>
            <w:color w:val="0563C1"/>
            <w:sz w:val="24"/>
            <w:szCs w:val="24"/>
            <w:u w:val="single"/>
          </w:rPr>
          <w:t>2</w:t>
        </w:r>
        <w:r w:rsidRPr="00C1069A">
          <w:rPr>
            <w:rFonts w:ascii="Arial" w:eastAsia="Calibri" w:hAnsi="Arial" w:cs="Arial"/>
            <w:color w:val="0563C1"/>
            <w:spacing w:val="-1"/>
            <w:sz w:val="24"/>
            <w:szCs w:val="24"/>
            <w:u w:val="single"/>
          </w:rPr>
          <w:t>@ni</w:t>
        </w:r>
        <w:r w:rsidRPr="00C1069A">
          <w:rPr>
            <w:rFonts w:ascii="Arial" w:eastAsia="Calibri" w:hAnsi="Arial" w:cs="Arial"/>
            <w:color w:val="0563C1"/>
            <w:sz w:val="24"/>
            <w:szCs w:val="24"/>
            <w:u w:val="single"/>
          </w:rPr>
          <w:t>h.</w:t>
        </w:r>
        <w:r w:rsidRPr="00C1069A">
          <w:rPr>
            <w:rFonts w:ascii="Arial" w:eastAsia="Calibri" w:hAnsi="Arial" w:cs="Arial"/>
            <w:color w:val="0563C1"/>
            <w:spacing w:val="-1"/>
            <w:sz w:val="24"/>
            <w:szCs w:val="24"/>
            <w:u w:val="single"/>
          </w:rPr>
          <w:t>g</w:t>
        </w:r>
        <w:r w:rsidRPr="00C1069A">
          <w:rPr>
            <w:rFonts w:ascii="Arial" w:eastAsia="Calibri" w:hAnsi="Arial" w:cs="Arial"/>
            <w:color w:val="0563C1"/>
            <w:sz w:val="24"/>
            <w:szCs w:val="24"/>
            <w:u w:val="single"/>
          </w:rPr>
          <w:t>o</w:t>
        </w:r>
        <w:r w:rsidRPr="00C1069A">
          <w:rPr>
            <w:rFonts w:ascii="Arial" w:eastAsia="Calibri" w:hAnsi="Arial" w:cs="Arial"/>
            <w:color w:val="0563C1"/>
            <w:spacing w:val="-2"/>
            <w:sz w:val="24"/>
            <w:szCs w:val="24"/>
            <w:u w:val="single"/>
          </w:rPr>
          <w:t>v</w:t>
        </w:r>
      </w:hyperlink>
      <w:hyperlink r:id="rId76" w:history="1">
        <w:r w:rsidRPr="00C1069A">
          <w:rPr>
            <w:rFonts w:ascii="Arial" w:eastAsia="Calibri" w:hAnsi="Arial" w:cs="Arial"/>
            <w:color w:val="000000"/>
            <w:sz w:val="24"/>
            <w:szCs w:val="24"/>
          </w:rPr>
          <w:t>, or Ba</w:t>
        </w:r>
        <w:r w:rsidRPr="00C1069A">
          <w:rPr>
            <w:rFonts w:ascii="Arial" w:eastAsia="Calibri" w:hAnsi="Arial" w:cs="Arial"/>
            <w:color w:val="000000"/>
            <w:spacing w:val="-1"/>
            <w:sz w:val="24"/>
            <w:szCs w:val="24"/>
          </w:rPr>
          <w:t>rry</w:t>
        </w:r>
      </w:hyperlink>
      <w:r w:rsidRPr="00C1069A">
        <w:rPr>
          <w:rFonts w:ascii="Arial" w:eastAsia="Calibri" w:hAnsi="Arial" w:cs="Arial"/>
          <w:color w:val="000000"/>
          <w:spacing w:val="-1"/>
          <w:sz w:val="24"/>
          <w:szCs w:val="24"/>
        </w:rPr>
        <w:t xml:space="preserve"> </w:t>
      </w:r>
      <w:r w:rsidRPr="00C1069A">
        <w:rPr>
          <w:rFonts w:ascii="Arial" w:eastAsia="Calibri" w:hAnsi="Arial" w:cs="Arial"/>
          <w:color w:val="000000"/>
          <w:position w:val="-1"/>
          <w:sz w:val="24"/>
          <w:szCs w:val="24"/>
        </w:rPr>
        <w:t>So</w:t>
      </w:r>
      <w:r w:rsidRPr="00C1069A">
        <w:rPr>
          <w:rFonts w:ascii="Arial" w:eastAsia="Calibri" w:hAnsi="Arial" w:cs="Arial"/>
          <w:spacing w:val="-1"/>
          <w:position w:val="-1"/>
          <w:sz w:val="24"/>
          <w:szCs w:val="24"/>
        </w:rPr>
        <w:t>lo</w:t>
      </w:r>
      <w:r w:rsidRPr="00C1069A">
        <w:rPr>
          <w:rFonts w:ascii="Arial" w:eastAsia="Calibri" w:hAnsi="Arial" w:cs="Arial"/>
          <w:spacing w:val="2"/>
          <w:position w:val="-1"/>
          <w:sz w:val="24"/>
          <w:szCs w:val="24"/>
        </w:rPr>
        <w:t>m</w:t>
      </w:r>
      <w:r w:rsidRPr="00C1069A">
        <w:rPr>
          <w:rFonts w:ascii="Arial" w:eastAsia="Calibri" w:hAnsi="Arial" w:cs="Arial"/>
          <w:position w:val="-1"/>
          <w:sz w:val="24"/>
          <w:szCs w:val="24"/>
        </w:rPr>
        <w:t>o</w:t>
      </w:r>
      <w:r w:rsidRPr="00C1069A">
        <w:rPr>
          <w:rFonts w:ascii="Arial" w:eastAsia="Calibri" w:hAnsi="Arial" w:cs="Arial"/>
          <w:spacing w:val="-1"/>
          <w:position w:val="-1"/>
          <w:sz w:val="24"/>
          <w:szCs w:val="24"/>
        </w:rPr>
        <w:t>n</w:t>
      </w:r>
      <w:r w:rsidRPr="00C1069A">
        <w:rPr>
          <w:rFonts w:ascii="Arial" w:eastAsia="Calibri" w:hAnsi="Arial" w:cs="Arial"/>
          <w:position w:val="-1"/>
          <w:sz w:val="24"/>
          <w:szCs w:val="24"/>
        </w:rPr>
        <w:t xml:space="preserve">, </w:t>
      </w:r>
      <w:hyperlink r:id="rId77" w:tooltip="SolomonBJ@od.nih.gov" w:history="1">
        <w:r w:rsidRPr="00C1069A">
          <w:rPr>
            <w:rFonts w:ascii="Arial" w:eastAsia="Calibri" w:hAnsi="Arial" w:cs="Times New Roman"/>
            <w:color w:val="0563C1"/>
            <w:sz w:val="24"/>
            <w:u w:val="single"/>
          </w:rPr>
          <w:t>SolomonBJ@od.nih.gov</w:t>
        </w:r>
      </w:hyperlink>
      <w:r w:rsidRPr="00C1069A">
        <w:rPr>
          <w:rFonts w:ascii="Arial" w:eastAsia="Calibri" w:hAnsi="Arial" w:cs="Arial"/>
          <w:color w:val="0000FF"/>
          <w:position w:val="-1"/>
          <w:sz w:val="24"/>
          <w:szCs w:val="24"/>
        </w:rPr>
        <w:t>.</w:t>
      </w:r>
    </w:p>
    <w:p w14:paraId="1836E636" w14:textId="2E531109" w:rsidR="00285777" w:rsidRPr="00E21CC1" w:rsidRDefault="00C1069A" w:rsidP="00556AD2">
      <w:pPr>
        <w:spacing w:line="240" w:lineRule="auto"/>
        <w:rPr>
          <w:sz w:val="40"/>
          <w:szCs w:val="40"/>
        </w:rPr>
      </w:pPr>
      <w:r w:rsidRPr="00C1069A">
        <w:rPr>
          <w:rFonts w:ascii="Arial" w:eastAsia="Calibri" w:hAnsi="Arial" w:cs="Arial"/>
          <w:sz w:val="24"/>
          <w:szCs w:val="24"/>
        </w:rPr>
        <w:t xml:space="preserve">If </w:t>
      </w:r>
      <w:r w:rsidRPr="00C1069A">
        <w:rPr>
          <w:rFonts w:ascii="Arial" w:eastAsia="Calibri" w:hAnsi="Arial" w:cs="Arial"/>
          <w:spacing w:val="-2"/>
          <w:sz w:val="24"/>
          <w:szCs w:val="24"/>
        </w:rPr>
        <w:t>y</w:t>
      </w:r>
      <w:r w:rsidRPr="00C1069A">
        <w:rPr>
          <w:rFonts w:ascii="Arial" w:eastAsia="Calibri" w:hAnsi="Arial" w:cs="Arial"/>
          <w:sz w:val="24"/>
          <w:szCs w:val="24"/>
        </w:rPr>
        <w:t>ou</w:t>
      </w:r>
      <w:r w:rsidRPr="00C1069A">
        <w:rPr>
          <w:rFonts w:ascii="Arial" w:eastAsia="Calibri" w:hAnsi="Arial" w:cs="Arial"/>
          <w:spacing w:val="2"/>
          <w:sz w:val="24"/>
          <w:szCs w:val="24"/>
        </w:rPr>
        <w:t xml:space="preserve"> </w:t>
      </w:r>
      <w:r w:rsidRPr="00C1069A">
        <w:rPr>
          <w:rFonts w:ascii="Arial" w:eastAsia="Calibri" w:hAnsi="Arial" w:cs="Arial"/>
          <w:sz w:val="24"/>
          <w:szCs w:val="24"/>
        </w:rPr>
        <w:t>ha</w:t>
      </w:r>
      <w:r w:rsidRPr="00C1069A">
        <w:rPr>
          <w:rFonts w:ascii="Arial" w:eastAsia="Calibri" w:hAnsi="Arial" w:cs="Arial"/>
          <w:spacing w:val="-2"/>
          <w:sz w:val="24"/>
          <w:szCs w:val="24"/>
        </w:rPr>
        <w:t>v</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a</w:t>
      </w:r>
      <w:r w:rsidRPr="00C1069A">
        <w:rPr>
          <w:rFonts w:ascii="Arial" w:eastAsia="Calibri" w:hAnsi="Arial" w:cs="Arial"/>
          <w:sz w:val="24"/>
          <w:szCs w:val="24"/>
        </w:rPr>
        <w:t>ny</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q</w:t>
      </w:r>
      <w:r w:rsidRPr="00C1069A">
        <w:rPr>
          <w:rFonts w:ascii="Arial" w:eastAsia="Calibri" w:hAnsi="Arial" w:cs="Arial"/>
          <w:sz w:val="24"/>
          <w:szCs w:val="24"/>
        </w:rPr>
        <w:t>uest</w:t>
      </w:r>
      <w:r w:rsidRPr="00C1069A">
        <w:rPr>
          <w:rFonts w:ascii="Arial" w:eastAsia="Calibri" w:hAnsi="Arial" w:cs="Arial"/>
          <w:spacing w:val="-1"/>
          <w:sz w:val="24"/>
          <w:szCs w:val="24"/>
        </w:rPr>
        <w:t>i</w:t>
      </w:r>
      <w:r w:rsidRPr="00C1069A">
        <w:rPr>
          <w:rFonts w:ascii="Arial" w:eastAsia="Calibri" w:hAnsi="Arial" w:cs="Arial"/>
          <w:sz w:val="24"/>
          <w:szCs w:val="24"/>
        </w:rPr>
        <w:t xml:space="preserve">ons or </w:t>
      </w:r>
      <w:r w:rsidRPr="00C1069A">
        <w:rPr>
          <w:rFonts w:ascii="Arial" w:eastAsia="Calibri" w:hAnsi="Arial" w:cs="Arial"/>
          <w:spacing w:val="-2"/>
          <w:sz w:val="24"/>
          <w:szCs w:val="24"/>
        </w:rPr>
        <w:t>c</w:t>
      </w:r>
      <w:r w:rsidRPr="00C1069A">
        <w:rPr>
          <w:rFonts w:ascii="Arial" w:eastAsia="Calibri" w:hAnsi="Arial" w:cs="Arial"/>
          <w:sz w:val="24"/>
          <w:szCs w:val="24"/>
        </w:rPr>
        <w:t>o</w:t>
      </w:r>
      <w:r w:rsidRPr="00C1069A">
        <w:rPr>
          <w:rFonts w:ascii="Arial" w:eastAsia="Calibri" w:hAnsi="Arial" w:cs="Arial"/>
          <w:spacing w:val="-1"/>
          <w:sz w:val="24"/>
          <w:szCs w:val="24"/>
        </w:rPr>
        <w:t>m</w:t>
      </w:r>
      <w:r w:rsidRPr="00C1069A">
        <w:rPr>
          <w:rFonts w:ascii="Arial" w:eastAsia="Calibri" w:hAnsi="Arial" w:cs="Arial"/>
          <w:spacing w:val="2"/>
          <w:sz w:val="24"/>
          <w:szCs w:val="24"/>
        </w:rPr>
        <w:t>m</w:t>
      </w:r>
      <w:r w:rsidRPr="00C1069A">
        <w:rPr>
          <w:rFonts w:ascii="Arial" w:eastAsia="Calibri" w:hAnsi="Arial" w:cs="Arial"/>
          <w:spacing w:val="-1"/>
          <w:sz w:val="24"/>
          <w:szCs w:val="24"/>
        </w:rPr>
        <w:t>e</w:t>
      </w:r>
      <w:r w:rsidRPr="00C1069A">
        <w:rPr>
          <w:rFonts w:ascii="Arial" w:eastAsia="Calibri" w:hAnsi="Arial" w:cs="Arial"/>
          <w:sz w:val="24"/>
          <w:szCs w:val="24"/>
        </w:rPr>
        <w:t xml:space="preserve">nts </w:t>
      </w:r>
      <w:r w:rsidRPr="00C1069A">
        <w:rPr>
          <w:rFonts w:ascii="Arial" w:eastAsia="Calibri" w:hAnsi="Arial" w:cs="Arial"/>
          <w:spacing w:val="-1"/>
          <w:sz w:val="24"/>
          <w:szCs w:val="24"/>
        </w:rPr>
        <w:t>r</w:t>
      </w:r>
      <w:r w:rsidRPr="00C1069A">
        <w:rPr>
          <w:rFonts w:ascii="Arial" w:eastAsia="Calibri" w:hAnsi="Arial" w:cs="Arial"/>
          <w:sz w:val="24"/>
          <w:szCs w:val="24"/>
        </w:rPr>
        <w:t>e</w:t>
      </w:r>
      <w:r w:rsidRPr="00C1069A">
        <w:rPr>
          <w:rFonts w:ascii="Arial" w:eastAsia="Calibri" w:hAnsi="Arial" w:cs="Arial"/>
          <w:spacing w:val="-2"/>
          <w:sz w:val="24"/>
          <w:szCs w:val="24"/>
        </w:rPr>
        <w:t>g</w:t>
      </w:r>
      <w:r w:rsidRPr="00C1069A">
        <w:rPr>
          <w:rFonts w:ascii="Arial" w:eastAsia="Calibri" w:hAnsi="Arial" w:cs="Arial"/>
          <w:spacing w:val="-1"/>
          <w:sz w:val="24"/>
          <w:szCs w:val="24"/>
        </w:rPr>
        <w:t>ar</w:t>
      </w:r>
      <w:r w:rsidRPr="00C1069A">
        <w:rPr>
          <w:rFonts w:ascii="Arial" w:eastAsia="Calibri" w:hAnsi="Arial" w:cs="Arial"/>
          <w:sz w:val="24"/>
          <w:szCs w:val="24"/>
        </w:rPr>
        <w:t>d</w:t>
      </w:r>
      <w:r w:rsidRPr="00C1069A">
        <w:rPr>
          <w:rFonts w:ascii="Arial" w:eastAsia="Calibri" w:hAnsi="Arial" w:cs="Arial"/>
          <w:spacing w:val="-1"/>
          <w:sz w:val="24"/>
          <w:szCs w:val="24"/>
        </w:rPr>
        <w:t>i</w:t>
      </w:r>
      <w:r w:rsidRPr="00C1069A">
        <w:rPr>
          <w:rFonts w:ascii="Arial" w:eastAsia="Calibri" w:hAnsi="Arial" w:cs="Arial"/>
          <w:sz w:val="24"/>
          <w:szCs w:val="24"/>
        </w:rPr>
        <w:t>ng</w:t>
      </w:r>
      <w:r w:rsidRPr="00C1069A">
        <w:rPr>
          <w:rFonts w:ascii="Arial" w:eastAsia="Calibri" w:hAnsi="Arial" w:cs="Arial"/>
          <w:spacing w:val="-1"/>
          <w:sz w:val="24"/>
          <w:szCs w:val="24"/>
        </w:rPr>
        <w:t xml:space="preserve"> </w:t>
      </w:r>
      <w:r w:rsidRPr="00C1069A">
        <w:rPr>
          <w:rFonts w:ascii="Arial" w:eastAsia="Calibri" w:hAnsi="Arial" w:cs="Arial"/>
          <w:sz w:val="24"/>
          <w:szCs w:val="24"/>
        </w:rPr>
        <w:t>the</w:t>
      </w:r>
      <w:r w:rsidRPr="00C1069A">
        <w:rPr>
          <w:rFonts w:ascii="Arial" w:eastAsia="Calibri" w:hAnsi="Arial" w:cs="Arial"/>
          <w:spacing w:val="2"/>
          <w:sz w:val="24"/>
          <w:szCs w:val="24"/>
        </w:rPr>
        <w:t xml:space="preserve"> </w:t>
      </w:r>
      <w:r w:rsidRPr="00C1069A">
        <w:rPr>
          <w:rFonts w:ascii="Arial" w:eastAsia="Calibri" w:hAnsi="Arial" w:cs="Arial"/>
          <w:spacing w:val="-1"/>
          <w:sz w:val="24"/>
          <w:szCs w:val="24"/>
        </w:rPr>
        <w:t>in</w:t>
      </w:r>
      <w:r w:rsidRPr="00C1069A">
        <w:rPr>
          <w:rFonts w:ascii="Arial" w:eastAsia="Calibri" w:hAnsi="Arial" w:cs="Arial"/>
          <w:sz w:val="24"/>
          <w:szCs w:val="24"/>
        </w:rPr>
        <w:t>fo</w:t>
      </w:r>
      <w:r w:rsidRPr="00C1069A">
        <w:rPr>
          <w:rFonts w:ascii="Arial" w:eastAsia="Calibri" w:hAnsi="Arial" w:cs="Arial"/>
          <w:spacing w:val="-1"/>
          <w:sz w:val="24"/>
          <w:szCs w:val="24"/>
        </w:rPr>
        <w:t>rm</w:t>
      </w:r>
      <w:r w:rsidRPr="00C1069A">
        <w:rPr>
          <w:rFonts w:ascii="Arial" w:eastAsia="Calibri" w:hAnsi="Arial" w:cs="Arial"/>
          <w:sz w:val="24"/>
          <w:szCs w:val="24"/>
        </w:rPr>
        <w:t>at</w:t>
      </w:r>
      <w:r w:rsidRPr="00C1069A">
        <w:rPr>
          <w:rFonts w:ascii="Arial" w:eastAsia="Calibri" w:hAnsi="Arial" w:cs="Arial"/>
          <w:spacing w:val="-1"/>
          <w:sz w:val="24"/>
          <w:szCs w:val="24"/>
        </w:rPr>
        <w:t>i</w:t>
      </w:r>
      <w:r w:rsidRPr="00C1069A">
        <w:rPr>
          <w:rFonts w:ascii="Arial" w:eastAsia="Calibri" w:hAnsi="Arial" w:cs="Arial"/>
          <w:sz w:val="24"/>
          <w:szCs w:val="24"/>
        </w:rPr>
        <w:t>o</w:t>
      </w:r>
      <w:r w:rsidRPr="00C1069A">
        <w:rPr>
          <w:rFonts w:ascii="Arial" w:eastAsia="Calibri" w:hAnsi="Arial" w:cs="Arial"/>
          <w:spacing w:val="-2"/>
          <w:sz w:val="24"/>
          <w:szCs w:val="24"/>
        </w:rPr>
        <w:t>n</w:t>
      </w:r>
      <w:r w:rsidRPr="00C1069A">
        <w:rPr>
          <w:rFonts w:ascii="Arial" w:eastAsia="Calibri" w:hAnsi="Arial" w:cs="Arial"/>
          <w:sz w:val="24"/>
          <w:szCs w:val="24"/>
        </w:rPr>
        <w:t xml:space="preserve">, </w:t>
      </w:r>
      <w:r w:rsidRPr="00C1069A">
        <w:rPr>
          <w:rFonts w:ascii="Arial" w:eastAsia="Calibri" w:hAnsi="Arial" w:cs="Arial"/>
          <w:spacing w:val="-1"/>
          <w:sz w:val="24"/>
          <w:szCs w:val="24"/>
        </w:rPr>
        <w:t>p</w:t>
      </w:r>
      <w:r w:rsidRPr="00C1069A">
        <w:rPr>
          <w:rFonts w:ascii="Arial" w:eastAsia="Calibri" w:hAnsi="Arial" w:cs="Arial"/>
          <w:sz w:val="24"/>
          <w:szCs w:val="24"/>
        </w:rPr>
        <w:t>o</w:t>
      </w:r>
      <w:r w:rsidRPr="00C1069A">
        <w:rPr>
          <w:rFonts w:ascii="Arial" w:eastAsia="Calibri" w:hAnsi="Arial" w:cs="Arial"/>
          <w:spacing w:val="-1"/>
          <w:sz w:val="24"/>
          <w:szCs w:val="24"/>
        </w:rPr>
        <w:t>li</w:t>
      </w:r>
      <w:r w:rsidRPr="00C1069A">
        <w:rPr>
          <w:rFonts w:ascii="Arial" w:eastAsia="Calibri" w:hAnsi="Arial" w:cs="Arial"/>
          <w:sz w:val="24"/>
          <w:szCs w:val="24"/>
        </w:rPr>
        <w:t>cy</w:t>
      </w:r>
      <w:r w:rsidRPr="00C1069A">
        <w:rPr>
          <w:rFonts w:ascii="Arial" w:eastAsia="Calibri" w:hAnsi="Arial" w:cs="Arial"/>
          <w:spacing w:val="-2"/>
          <w:sz w:val="24"/>
          <w:szCs w:val="24"/>
        </w:rPr>
        <w:t xml:space="preserve"> </w:t>
      </w:r>
      <w:r w:rsidRPr="00C1069A">
        <w:rPr>
          <w:rFonts w:ascii="Arial" w:eastAsia="Calibri" w:hAnsi="Arial" w:cs="Arial"/>
          <w:sz w:val="24"/>
          <w:szCs w:val="24"/>
        </w:rPr>
        <w:t>and/or p</w:t>
      </w:r>
      <w:r w:rsidRPr="00C1069A">
        <w:rPr>
          <w:rFonts w:ascii="Arial" w:eastAsia="Calibri" w:hAnsi="Arial" w:cs="Arial"/>
          <w:spacing w:val="-1"/>
          <w:sz w:val="24"/>
          <w:szCs w:val="24"/>
        </w:rPr>
        <w:t>r</w:t>
      </w:r>
      <w:r w:rsidRPr="00C1069A">
        <w:rPr>
          <w:rFonts w:ascii="Arial" w:eastAsia="Calibri" w:hAnsi="Arial" w:cs="Arial"/>
          <w:sz w:val="24"/>
          <w:szCs w:val="24"/>
        </w:rPr>
        <w:t>oce</w:t>
      </w:r>
      <w:r w:rsidRPr="00C1069A">
        <w:rPr>
          <w:rFonts w:ascii="Arial" w:eastAsia="Calibri" w:hAnsi="Arial" w:cs="Arial"/>
          <w:spacing w:val="-2"/>
          <w:sz w:val="24"/>
          <w:szCs w:val="24"/>
        </w:rPr>
        <w:t>d</w:t>
      </w:r>
      <w:r w:rsidRPr="00C1069A">
        <w:rPr>
          <w:rFonts w:ascii="Arial" w:eastAsia="Calibri" w:hAnsi="Arial" w:cs="Arial"/>
          <w:sz w:val="24"/>
          <w:szCs w:val="24"/>
        </w:rPr>
        <w:t>u</w:t>
      </w:r>
      <w:r w:rsidRPr="00C1069A">
        <w:rPr>
          <w:rFonts w:ascii="Arial" w:eastAsia="Calibri" w:hAnsi="Arial" w:cs="Arial"/>
          <w:spacing w:val="-1"/>
          <w:sz w:val="24"/>
          <w:szCs w:val="24"/>
        </w:rPr>
        <w:t>r</w:t>
      </w:r>
      <w:r w:rsidRPr="00C1069A">
        <w:rPr>
          <w:rFonts w:ascii="Arial" w:eastAsia="Calibri" w:hAnsi="Arial" w:cs="Arial"/>
          <w:sz w:val="24"/>
          <w:szCs w:val="24"/>
        </w:rPr>
        <w:t xml:space="preserve">es </w:t>
      </w:r>
      <w:r w:rsidRPr="00C1069A">
        <w:rPr>
          <w:rFonts w:ascii="Arial" w:eastAsia="Calibri" w:hAnsi="Arial" w:cs="Arial"/>
          <w:spacing w:val="-1"/>
          <w:sz w:val="24"/>
          <w:szCs w:val="24"/>
        </w:rPr>
        <w:t>p</w:t>
      </w:r>
      <w:r w:rsidRPr="00C1069A">
        <w:rPr>
          <w:rFonts w:ascii="Arial" w:eastAsia="Calibri" w:hAnsi="Arial" w:cs="Arial"/>
          <w:sz w:val="24"/>
          <w:szCs w:val="24"/>
        </w:rPr>
        <w:t>ub</w:t>
      </w:r>
      <w:r w:rsidRPr="00C1069A">
        <w:rPr>
          <w:rFonts w:ascii="Arial" w:eastAsia="Calibri" w:hAnsi="Arial" w:cs="Arial"/>
          <w:spacing w:val="-1"/>
          <w:sz w:val="24"/>
          <w:szCs w:val="24"/>
        </w:rPr>
        <w:t>li</w:t>
      </w:r>
      <w:r w:rsidRPr="00C1069A">
        <w:rPr>
          <w:rFonts w:ascii="Arial" w:eastAsia="Calibri" w:hAnsi="Arial" w:cs="Arial"/>
          <w:sz w:val="24"/>
          <w:szCs w:val="24"/>
        </w:rPr>
        <w:t>sh</w:t>
      </w:r>
      <w:r w:rsidRPr="00C1069A">
        <w:rPr>
          <w:rFonts w:ascii="Arial" w:eastAsia="Calibri" w:hAnsi="Arial" w:cs="Arial"/>
          <w:spacing w:val="-2"/>
          <w:sz w:val="24"/>
          <w:szCs w:val="24"/>
        </w:rPr>
        <w:t>e</w:t>
      </w:r>
      <w:r w:rsidRPr="00C1069A">
        <w:rPr>
          <w:rFonts w:ascii="Arial" w:eastAsia="Calibri" w:hAnsi="Arial" w:cs="Arial"/>
          <w:sz w:val="24"/>
          <w:szCs w:val="24"/>
        </w:rPr>
        <w:t>d</w:t>
      </w:r>
      <w:r w:rsidRPr="00C1069A">
        <w:rPr>
          <w:rFonts w:ascii="Arial" w:eastAsia="Calibri" w:hAnsi="Arial" w:cs="Arial"/>
          <w:spacing w:val="2"/>
          <w:sz w:val="24"/>
          <w:szCs w:val="24"/>
        </w:rPr>
        <w:t xml:space="preserve"> </w:t>
      </w:r>
      <w:r w:rsidRPr="00C1069A">
        <w:rPr>
          <w:rFonts w:ascii="Arial" w:eastAsia="Calibri" w:hAnsi="Arial" w:cs="Arial"/>
          <w:spacing w:val="-3"/>
          <w:sz w:val="24"/>
          <w:szCs w:val="24"/>
        </w:rPr>
        <w:t>i</w:t>
      </w:r>
      <w:r w:rsidRPr="00C1069A">
        <w:rPr>
          <w:rFonts w:ascii="Arial" w:eastAsia="Calibri" w:hAnsi="Arial" w:cs="Arial"/>
          <w:sz w:val="24"/>
          <w:szCs w:val="24"/>
        </w:rPr>
        <w:t>n</w:t>
      </w:r>
      <w:r w:rsidRPr="00C1069A">
        <w:rPr>
          <w:rFonts w:ascii="Arial" w:eastAsia="Calibri" w:hAnsi="Arial" w:cs="Arial"/>
          <w:spacing w:val="2"/>
          <w:sz w:val="24"/>
          <w:szCs w:val="24"/>
        </w:rPr>
        <w:t xml:space="preserve"> </w:t>
      </w:r>
      <w:r w:rsidRPr="00C1069A">
        <w:rPr>
          <w:rFonts w:ascii="Arial" w:eastAsia="Calibri" w:hAnsi="Arial" w:cs="Arial"/>
          <w:sz w:val="24"/>
          <w:szCs w:val="24"/>
        </w:rPr>
        <w:t>th</w:t>
      </w:r>
      <w:r w:rsidRPr="00C1069A">
        <w:rPr>
          <w:rFonts w:ascii="Arial" w:eastAsia="Calibri" w:hAnsi="Arial" w:cs="Arial"/>
          <w:spacing w:val="-1"/>
          <w:sz w:val="24"/>
          <w:szCs w:val="24"/>
        </w:rPr>
        <w:t>i</w:t>
      </w:r>
      <w:r w:rsidRPr="00C1069A">
        <w:rPr>
          <w:rFonts w:ascii="Arial" w:eastAsia="Calibri" w:hAnsi="Arial" w:cs="Arial"/>
          <w:sz w:val="24"/>
          <w:szCs w:val="24"/>
        </w:rPr>
        <w:t xml:space="preserve">s </w:t>
      </w:r>
      <w:r w:rsidRPr="00C1069A">
        <w:rPr>
          <w:rFonts w:ascii="Arial" w:eastAsia="Calibri" w:hAnsi="Arial" w:cs="Arial"/>
          <w:spacing w:val="-1"/>
          <w:sz w:val="24"/>
          <w:szCs w:val="24"/>
        </w:rPr>
        <w:t>i</w:t>
      </w:r>
      <w:r w:rsidRPr="00C1069A">
        <w:rPr>
          <w:rFonts w:ascii="Arial" w:eastAsia="Calibri" w:hAnsi="Arial" w:cs="Arial"/>
          <w:sz w:val="24"/>
          <w:szCs w:val="24"/>
        </w:rPr>
        <w:t>ss</w:t>
      </w:r>
      <w:r w:rsidRPr="00C1069A">
        <w:rPr>
          <w:rFonts w:ascii="Arial" w:eastAsia="Calibri" w:hAnsi="Arial" w:cs="Arial"/>
          <w:spacing w:val="-1"/>
          <w:sz w:val="24"/>
          <w:szCs w:val="24"/>
        </w:rPr>
        <w:t>u</w:t>
      </w:r>
      <w:r w:rsidRPr="00C1069A">
        <w:rPr>
          <w:rFonts w:ascii="Arial" w:eastAsia="Calibri" w:hAnsi="Arial" w:cs="Arial"/>
          <w:sz w:val="24"/>
          <w:szCs w:val="24"/>
        </w:rPr>
        <w:t xml:space="preserve">e, </w:t>
      </w:r>
      <w:r w:rsidRPr="00C1069A">
        <w:rPr>
          <w:rFonts w:ascii="Arial" w:eastAsia="Calibri" w:hAnsi="Arial" w:cs="Arial"/>
          <w:spacing w:val="-2"/>
          <w:sz w:val="24"/>
          <w:szCs w:val="24"/>
        </w:rPr>
        <w:t>y</w:t>
      </w:r>
      <w:r w:rsidRPr="00C1069A">
        <w:rPr>
          <w:rFonts w:ascii="Arial" w:eastAsia="Calibri" w:hAnsi="Arial" w:cs="Arial"/>
          <w:sz w:val="24"/>
          <w:szCs w:val="24"/>
        </w:rPr>
        <w:t>ou</w:t>
      </w:r>
      <w:r w:rsidRPr="00C1069A">
        <w:rPr>
          <w:rFonts w:ascii="Arial" w:eastAsia="Calibri" w:hAnsi="Arial" w:cs="Arial"/>
          <w:spacing w:val="-1"/>
          <w:sz w:val="24"/>
          <w:szCs w:val="24"/>
        </w:rPr>
        <w:t xml:space="preserve"> </w:t>
      </w:r>
      <w:r w:rsidRPr="00C1069A">
        <w:rPr>
          <w:rFonts w:ascii="Arial" w:eastAsia="Calibri" w:hAnsi="Arial" w:cs="Arial"/>
          <w:spacing w:val="2"/>
          <w:sz w:val="24"/>
          <w:szCs w:val="24"/>
        </w:rPr>
        <w:t>m</w:t>
      </w:r>
      <w:r w:rsidRPr="00C1069A">
        <w:rPr>
          <w:rFonts w:ascii="Arial" w:eastAsia="Calibri" w:hAnsi="Arial" w:cs="Arial"/>
          <w:sz w:val="24"/>
          <w:szCs w:val="24"/>
        </w:rPr>
        <w:t>ay</w:t>
      </w:r>
      <w:r w:rsidRPr="00C1069A">
        <w:rPr>
          <w:rFonts w:ascii="Arial" w:eastAsia="Calibri" w:hAnsi="Arial" w:cs="Arial"/>
          <w:spacing w:val="-2"/>
          <w:sz w:val="24"/>
          <w:szCs w:val="24"/>
        </w:rPr>
        <w:t xml:space="preserve"> </w:t>
      </w:r>
      <w:r w:rsidRPr="00C1069A">
        <w:rPr>
          <w:rFonts w:ascii="Arial" w:eastAsia="Calibri" w:hAnsi="Arial" w:cs="Arial"/>
          <w:sz w:val="24"/>
          <w:szCs w:val="24"/>
        </w:rPr>
        <w:t>conta</w:t>
      </w:r>
      <w:r w:rsidRPr="00C1069A">
        <w:rPr>
          <w:rFonts w:ascii="Arial" w:eastAsia="Calibri" w:hAnsi="Arial" w:cs="Arial"/>
          <w:spacing w:val="-2"/>
          <w:sz w:val="24"/>
          <w:szCs w:val="24"/>
        </w:rPr>
        <w:t>c</w:t>
      </w:r>
      <w:r w:rsidRPr="00C1069A">
        <w:rPr>
          <w:rFonts w:ascii="Arial" w:eastAsia="Calibri" w:hAnsi="Arial" w:cs="Arial"/>
          <w:sz w:val="24"/>
          <w:szCs w:val="24"/>
        </w:rPr>
        <w:t xml:space="preserve">t </w:t>
      </w:r>
      <w:r w:rsidR="00CE0D4B">
        <w:rPr>
          <w:rFonts w:ascii="Arial" w:eastAsia="Calibri" w:hAnsi="Arial" w:cs="Arial"/>
          <w:sz w:val="24"/>
          <w:szCs w:val="24"/>
        </w:rPr>
        <w:t>Jesse Lee</w:t>
      </w:r>
      <w:r>
        <w:rPr>
          <w:rFonts w:ascii="Arial" w:eastAsia="Calibri" w:hAnsi="Arial" w:cs="Arial"/>
          <w:sz w:val="24"/>
          <w:szCs w:val="24"/>
        </w:rPr>
        <w:t xml:space="preserve"> </w:t>
      </w:r>
      <w:r w:rsidRPr="00C1069A">
        <w:rPr>
          <w:rFonts w:ascii="Arial" w:eastAsia="Calibri" w:hAnsi="Arial" w:cs="Arial"/>
          <w:sz w:val="24"/>
          <w:szCs w:val="24"/>
        </w:rPr>
        <w:t>at t</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z w:val="24"/>
          <w:szCs w:val="24"/>
        </w:rPr>
        <w:t>e</w:t>
      </w:r>
      <w:r w:rsidRPr="00C1069A">
        <w:rPr>
          <w:rFonts w:ascii="Arial" w:eastAsia="Calibri" w:hAnsi="Arial" w:cs="Arial"/>
          <w:spacing w:val="-3"/>
          <w:sz w:val="24"/>
          <w:szCs w:val="24"/>
        </w:rPr>
        <w:t>-</w:t>
      </w:r>
      <w:r w:rsidRPr="00C1069A">
        <w:rPr>
          <w:rFonts w:ascii="Arial" w:eastAsia="Calibri" w:hAnsi="Arial" w:cs="Arial"/>
          <w:spacing w:val="2"/>
          <w:sz w:val="24"/>
          <w:szCs w:val="24"/>
        </w:rPr>
        <w:t>m</w:t>
      </w:r>
      <w:r w:rsidRPr="00C1069A">
        <w:rPr>
          <w:rFonts w:ascii="Arial" w:eastAsia="Calibri" w:hAnsi="Arial" w:cs="Arial"/>
          <w:sz w:val="24"/>
          <w:szCs w:val="24"/>
        </w:rPr>
        <w:t>ail add</w:t>
      </w:r>
      <w:r w:rsidRPr="00C1069A">
        <w:rPr>
          <w:rFonts w:ascii="Arial" w:eastAsia="Calibri" w:hAnsi="Arial" w:cs="Arial"/>
          <w:spacing w:val="-1"/>
          <w:sz w:val="24"/>
          <w:szCs w:val="24"/>
        </w:rPr>
        <w:t>r</w:t>
      </w:r>
      <w:r w:rsidRPr="00C1069A">
        <w:rPr>
          <w:rFonts w:ascii="Arial" w:eastAsia="Calibri" w:hAnsi="Arial" w:cs="Arial"/>
          <w:sz w:val="24"/>
          <w:szCs w:val="24"/>
        </w:rPr>
        <w:t>ess</w:t>
      </w:r>
      <w:r w:rsidRPr="00C1069A">
        <w:rPr>
          <w:rFonts w:ascii="Arial" w:eastAsia="Calibri" w:hAnsi="Arial" w:cs="Arial"/>
          <w:spacing w:val="-2"/>
          <w:sz w:val="24"/>
          <w:szCs w:val="24"/>
        </w:rPr>
        <w:t xml:space="preserve"> </w:t>
      </w:r>
      <w:r w:rsidRPr="00C1069A">
        <w:rPr>
          <w:rFonts w:ascii="Arial" w:eastAsia="Calibri" w:hAnsi="Arial" w:cs="Arial"/>
          <w:sz w:val="24"/>
          <w:szCs w:val="24"/>
        </w:rPr>
        <w:t>a</w:t>
      </w:r>
      <w:r w:rsidRPr="00C1069A">
        <w:rPr>
          <w:rFonts w:ascii="Arial" w:eastAsia="Calibri" w:hAnsi="Arial" w:cs="Arial"/>
          <w:spacing w:val="-2"/>
          <w:sz w:val="24"/>
          <w:szCs w:val="24"/>
        </w:rPr>
        <w:t>b</w:t>
      </w:r>
      <w:r w:rsidRPr="00C1069A">
        <w:rPr>
          <w:rFonts w:ascii="Arial" w:eastAsia="Calibri" w:hAnsi="Arial" w:cs="Arial"/>
          <w:sz w:val="24"/>
          <w:szCs w:val="24"/>
        </w:rPr>
        <w:t>o</w:t>
      </w:r>
      <w:r w:rsidRPr="00C1069A">
        <w:rPr>
          <w:rFonts w:ascii="Arial" w:eastAsia="Calibri" w:hAnsi="Arial" w:cs="Arial"/>
          <w:spacing w:val="-2"/>
          <w:sz w:val="24"/>
          <w:szCs w:val="24"/>
        </w:rPr>
        <w:t>v</w:t>
      </w:r>
      <w:r w:rsidRPr="00C1069A">
        <w:rPr>
          <w:rFonts w:ascii="Arial" w:eastAsia="Calibri" w:hAnsi="Arial" w:cs="Arial"/>
          <w:sz w:val="24"/>
          <w:szCs w:val="24"/>
        </w:rPr>
        <w:t>e. For</w:t>
      </w:r>
      <w:r w:rsidRPr="00C1069A">
        <w:rPr>
          <w:rFonts w:ascii="Arial" w:eastAsia="Calibri" w:hAnsi="Arial" w:cs="Arial"/>
          <w:spacing w:val="-2"/>
          <w:sz w:val="24"/>
          <w:szCs w:val="24"/>
        </w:rPr>
        <w:t xml:space="preserve"> </w:t>
      </w:r>
      <w:r w:rsidRPr="00C1069A">
        <w:rPr>
          <w:rFonts w:ascii="Arial" w:eastAsia="Calibri" w:hAnsi="Arial" w:cs="Arial"/>
          <w:spacing w:val="3"/>
          <w:sz w:val="24"/>
          <w:szCs w:val="24"/>
        </w:rPr>
        <w:t>f</w:t>
      </w:r>
      <w:r w:rsidRPr="00C1069A">
        <w:rPr>
          <w:rFonts w:ascii="Arial" w:eastAsia="Calibri" w:hAnsi="Arial" w:cs="Arial"/>
          <w:spacing w:val="-1"/>
          <w:sz w:val="24"/>
          <w:szCs w:val="24"/>
        </w:rPr>
        <w:t>u</w:t>
      </w:r>
      <w:r w:rsidRPr="00C1069A">
        <w:rPr>
          <w:rFonts w:ascii="Arial" w:eastAsia="Calibri" w:hAnsi="Arial" w:cs="Arial"/>
          <w:sz w:val="24"/>
          <w:szCs w:val="24"/>
        </w:rPr>
        <w:t>tu</w:t>
      </w:r>
      <w:r w:rsidRPr="00C1069A">
        <w:rPr>
          <w:rFonts w:ascii="Arial" w:eastAsia="Calibri" w:hAnsi="Arial" w:cs="Arial"/>
          <w:spacing w:val="-1"/>
          <w:sz w:val="24"/>
          <w:szCs w:val="24"/>
        </w:rPr>
        <w:t>r</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002743A6">
        <w:rPr>
          <w:rFonts w:ascii="Arial" w:eastAsia="Calibri" w:hAnsi="Arial" w:cs="Arial"/>
          <w:spacing w:val="-1"/>
          <w:sz w:val="24"/>
          <w:szCs w:val="24"/>
        </w:rPr>
        <w:t>editions or comments</w:t>
      </w:r>
      <w:r w:rsidRPr="00C1069A">
        <w:rPr>
          <w:rFonts w:ascii="Arial" w:eastAsia="Calibri" w:hAnsi="Arial" w:cs="Arial"/>
          <w:spacing w:val="-2"/>
          <w:sz w:val="24"/>
          <w:szCs w:val="24"/>
        </w:rPr>
        <w:t xml:space="preserve"> </w:t>
      </w:r>
      <w:r w:rsidRPr="00C1069A">
        <w:rPr>
          <w:rFonts w:ascii="Arial" w:eastAsia="Calibri" w:hAnsi="Arial" w:cs="Arial"/>
          <w:sz w:val="24"/>
          <w:szCs w:val="24"/>
        </w:rPr>
        <w:t>p</w:t>
      </w:r>
      <w:r w:rsidRPr="00C1069A">
        <w:rPr>
          <w:rFonts w:ascii="Arial" w:eastAsia="Calibri" w:hAnsi="Arial" w:cs="Arial"/>
          <w:spacing w:val="-1"/>
          <w:sz w:val="24"/>
          <w:szCs w:val="24"/>
        </w:rPr>
        <w:t>le</w:t>
      </w:r>
      <w:r w:rsidRPr="00C1069A">
        <w:rPr>
          <w:rFonts w:ascii="Arial" w:eastAsia="Calibri" w:hAnsi="Arial" w:cs="Arial"/>
          <w:sz w:val="24"/>
          <w:szCs w:val="24"/>
        </w:rPr>
        <w:t>ase</w:t>
      </w:r>
      <w:r w:rsidRPr="00C1069A">
        <w:rPr>
          <w:rFonts w:ascii="Arial" w:eastAsia="Calibri" w:hAnsi="Arial" w:cs="Arial"/>
          <w:spacing w:val="2"/>
          <w:sz w:val="24"/>
          <w:szCs w:val="24"/>
        </w:rPr>
        <w:t xml:space="preserve"> </w:t>
      </w:r>
      <w:r w:rsidRPr="00C1069A">
        <w:rPr>
          <w:rFonts w:ascii="Arial" w:eastAsia="Calibri" w:hAnsi="Arial" w:cs="Arial"/>
          <w:spacing w:val="-2"/>
          <w:sz w:val="24"/>
          <w:szCs w:val="24"/>
        </w:rPr>
        <w:t>c</w:t>
      </w:r>
      <w:r w:rsidRPr="00C1069A">
        <w:rPr>
          <w:rFonts w:ascii="Arial" w:eastAsia="Calibri" w:hAnsi="Arial" w:cs="Arial"/>
          <w:sz w:val="24"/>
          <w:szCs w:val="24"/>
        </w:rPr>
        <w:t>on</w:t>
      </w:r>
      <w:r w:rsidRPr="00C1069A">
        <w:rPr>
          <w:rFonts w:ascii="Arial" w:eastAsia="Calibri" w:hAnsi="Arial" w:cs="Arial"/>
          <w:spacing w:val="-2"/>
          <w:sz w:val="24"/>
          <w:szCs w:val="24"/>
        </w:rPr>
        <w:t>t</w:t>
      </w:r>
      <w:r w:rsidRPr="00C1069A">
        <w:rPr>
          <w:rFonts w:ascii="Arial" w:eastAsia="Calibri" w:hAnsi="Arial" w:cs="Arial"/>
          <w:sz w:val="24"/>
          <w:szCs w:val="24"/>
        </w:rPr>
        <w:t>act t</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2"/>
          <w:sz w:val="24"/>
          <w:szCs w:val="24"/>
        </w:rPr>
        <w:t xml:space="preserve"> </w:t>
      </w:r>
      <w:r w:rsidRPr="00C1069A">
        <w:rPr>
          <w:rFonts w:ascii="Arial" w:eastAsia="Calibri" w:hAnsi="Arial" w:cs="Arial"/>
          <w:sz w:val="24"/>
          <w:szCs w:val="24"/>
        </w:rPr>
        <w:t>S</w:t>
      </w:r>
      <w:r w:rsidRPr="00C1069A">
        <w:rPr>
          <w:rFonts w:ascii="Arial" w:eastAsia="Calibri" w:hAnsi="Arial" w:cs="Arial"/>
          <w:spacing w:val="-3"/>
          <w:sz w:val="24"/>
          <w:szCs w:val="24"/>
        </w:rPr>
        <w:t>i</w:t>
      </w:r>
      <w:r w:rsidRPr="00C1069A">
        <w:rPr>
          <w:rFonts w:ascii="Arial" w:eastAsia="Calibri" w:hAnsi="Arial" w:cs="Arial"/>
          <w:spacing w:val="2"/>
          <w:sz w:val="24"/>
          <w:szCs w:val="24"/>
        </w:rPr>
        <w:t>m</w:t>
      </w:r>
      <w:r w:rsidRPr="00C1069A">
        <w:rPr>
          <w:rFonts w:ascii="Arial" w:eastAsia="Calibri" w:hAnsi="Arial" w:cs="Arial"/>
          <w:sz w:val="24"/>
          <w:szCs w:val="24"/>
        </w:rPr>
        <w:t>p</w:t>
      </w:r>
      <w:r w:rsidRPr="00C1069A">
        <w:rPr>
          <w:rFonts w:ascii="Arial" w:eastAsia="Calibri" w:hAnsi="Arial" w:cs="Arial"/>
          <w:spacing w:val="-1"/>
          <w:sz w:val="24"/>
          <w:szCs w:val="24"/>
        </w:rPr>
        <w:t>l</w:t>
      </w:r>
      <w:r w:rsidRPr="00C1069A">
        <w:rPr>
          <w:rFonts w:ascii="Arial" w:eastAsia="Calibri" w:hAnsi="Arial" w:cs="Arial"/>
          <w:spacing w:val="-3"/>
          <w:sz w:val="24"/>
          <w:szCs w:val="24"/>
        </w:rPr>
        <w:t>i</w:t>
      </w:r>
      <w:r w:rsidRPr="00C1069A">
        <w:rPr>
          <w:rFonts w:ascii="Arial" w:eastAsia="Calibri" w:hAnsi="Arial" w:cs="Arial"/>
          <w:spacing w:val="3"/>
          <w:sz w:val="24"/>
          <w:szCs w:val="24"/>
        </w:rPr>
        <w:t>f</w:t>
      </w:r>
      <w:r w:rsidRPr="00C1069A">
        <w:rPr>
          <w:rFonts w:ascii="Arial" w:eastAsia="Calibri" w:hAnsi="Arial" w:cs="Arial"/>
          <w:spacing w:val="-1"/>
          <w:sz w:val="24"/>
          <w:szCs w:val="24"/>
        </w:rPr>
        <w:t>i</w:t>
      </w:r>
      <w:r w:rsidRPr="00C1069A">
        <w:rPr>
          <w:rFonts w:ascii="Arial" w:eastAsia="Calibri" w:hAnsi="Arial" w:cs="Arial"/>
          <w:sz w:val="24"/>
          <w:szCs w:val="24"/>
        </w:rPr>
        <w:t>ed</w:t>
      </w:r>
      <w:r w:rsidRPr="00C1069A">
        <w:rPr>
          <w:rFonts w:ascii="Arial" w:eastAsia="Calibri" w:hAnsi="Arial" w:cs="Arial"/>
          <w:spacing w:val="-1"/>
          <w:sz w:val="24"/>
          <w:szCs w:val="24"/>
        </w:rPr>
        <w:t xml:space="preserve"> </w:t>
      </w:r>
      <w:r w:rsidRPr="00C1069A">
        <w:rPr>
          <w:rFonts w:ascii="Arial" w:eastAsia="Calibri" w:hAnsi="Arial" w:cs="Arial"/>
          <w:sz w:val="24"/>
          <w:szCs w:val="24"/>
        </w:rPr>
        <w:t>Ac</w:t>
      </w:r>
      <w:r w:rsidRPr="00C1069A">
        <w:rPr>
          <w:rFonts w:ascii="Arial" w:eastAsia="Calibri" w:hAnsi="Arial" w:cs="Arial"/>
          <w:spacing w:val="-1"/>
          <w:sz w:val="24"/>
          <w:szCs w:val="24"/>
        </w:rPr>
        <w:t>qui</w:t>
      </w:r>
      <w:r w:rsidRPr="00C1069A">
        <w:rPr>
          <w:rFonts w:ascii="Arial" w:eastAsia="Calibri" w:hAnsi="Arial" w:cs="Arial"/>
          <w:sz w:val="24"/>
          <w:szCs w:val="24"/>
        </w:rPr>
        <w:t>s</w:t>
      </w:r>
      <w:r w:rsidRPr="00C1069A">
        <w:rPr>
          <w:rFonts w:ascii="Arial" w:eastAsia="Calibri" w:hAnsi="Arial" w:cs="Arial"/>
          <w:spacing w:val="-1"/>
          <w:sz w:val="24"/>
          <w:szCs w:val="24"/>
        </w:rPr>
        <w:t>i</w:t>
      </w:r>
      <w:r w:rsidRPr="00C1069A">
        <w:rPr>
          <w:rFonts w:ascii="Arial" w:eastAsia="Calibri" w:hAnsi="Arial" w:cs="Arial"/>
          <w:sz w:val="24"/>
          <w:szCs w:val="24"/>
        </w:rPr>
        <w:t>t</w:t>
      </w:r>
      <w:r w:rsidRPr="00C1069A">
        <w:rPr>
          <w:rFonts w:ascii="Arial" w:eastAsia="Calibri" w:hAnsi="Arial" w:cs="Arial"/>
          <w:spacing w:val="-1"/>
          <w:sz w:val="24"/>
          <w:szCs w:val="24"/>
        </w:rPr>
        <w:t>i</w:t>
      </w:r>
      <w:r w:rsidRPr="00C1069A">
        <w:rPr>
          <w:rFonts w:ascii="Arial" w:eastAsia="Calibri" w:hAnsi="Arial" w:cs="Arial"/>
          <w:sz w:val="24"/>
          <w:szCs w:val="24"/>
        </w:rPr>
        <w:t xml:space="preserve">ons </w:t>
      </w:r>
      <w:r w:rsidRPr="00C1069A">
        <w:rPr>
          <w:rFonts w:ascii="Arial" w:eastAsia="Calibri" w:hAnsi="Arial" w:cs="Arial"/>
          <w:spacing w:val="-1"/>
          <w:sz w:val="24"/>
          <w:szCs w:val="24"/>
        </w:rPr>
        <w:t>H</w:t>
      </w:r>
      <w:r w:rsidRPr="00C1069A">
        <w:rPr>
          <w:rFonts w:ascii="Arial" w:eastAsia="Calibri" w:hAnsi="Arial" w:cs="Arial"/>
          <w:sz w:val="24"/>
          <w:szCs w:val="24"/>
        </w:rPr>
        <w:t>e</w:t>
      </w:r>
      <w:r w:rsidRPr="00C1069A">
        <w:rPr>
          <w:rFonts w:ascii="Arial" w:eastAsia="Calibri" w:hAnsi="Arial" w:cs="Arial"/>
          <w:spacing w:val="-1"/>
          <w:sz w:val="24"/>
          <w:szCs w:val="24"/>
        </w:rPr>
        <w:t>l</w:t>
      </w:r>
      <w:r w:rsidRPr="00C1069A">
        <w:rPr>
          <w:rFonts w:ascii="Arial" w:eastAsia="Calibri" w:hAnsi="Arial" w:cs="Arial"/>
          <w:sz w:val="24"/>
          <w:szCs w:val="24"/>
        </w:rPr>
        <w:t>p</w:t>
      </w:r>
      <w:r w:rsidRPr="00C1069A">
        <w:rPr>
          <w:rFonts w:ascii="Arial" w:eastAsia="Calibri" w:hAnsi="Arial" w:cs="Arial"/>
          <w:spacing w:val="-1"/>
          <w:sz w:val="24"/>
          <w:szCs w:val="24"/>
        </w:rPr>
        <w:t>li</w:t>
      </w:r>
      <w:r w:rsidRPr="00C1069A">
        <w:rPr>
          <w:rFonts w:ascii="Arial" w:eastAsia="Calibri" w:hAnsi="Arial" w:cs="Arial"/>
          <w:sz w:val="24"/>
          <w:szCs w:val="24"/>
        </w:rPr>
        <w:t>ne</w:t>
      </w:r>
      <w:r w:rsidRPr="00C1069A">
        <w:rPr>
          <w:rFonts w:ascii="Arial" w:eastAsia="Calibri" w:hAnsi="Arial" w:cs="Arial"/>
          <w:spacing w:val="-1"/>
          <w:sz w:val="24"/>
          <w:szCs w:val="24"/>
        </w:rPr>
        <w:t xml:space="preserve"> </w:t>
      </w:r>
      <w:r w:rsidRPr="00C1069A">
        <w:rPr>
          <w:rFonts w:ascii="Arial" w:eastAsia="Calibri" w:hAnsi="Arial" w:cs="Arial"/>
          <w:sz w:val="24"/>
          <w:szCs w:val="24"/>
        </w:rPr>
        <w:t>on 301</w:t>
      </w:r>
      <w:r w:rsidRPr="00C1069A">
        <w:rPr>
          <w:rFonts w:ascii="Arial" w:eastAsia="Calibri" w:hAnsi="Arial" w:cs="Arial"/>
          <w:spacing w:val="-1"/>
          <w:sz w:val="24"/>
          <w:szCs w:val="24"/>
        </w:rPr>
        <w:t>-4</w:t>
      </w:r>
      <w:r w:rsidRPr="00C1069A">
        <w:rPr>
          <w:rFonts w:ascii="Arial" w:eastAsia="Calibri" w:hAnsi="Arial" w:cs="Arial"/>
          <w:sz w:val="24"/>
          <w:szCs w:val="24"/>
        </w:rPr>
        <w:t>96</w:t>
      </w:r>
      <w:r w:rsidRPr="00C1069A">
        <w:rPr>
          <w:rFonts w:ascii="Arial" w:eastAsia="Calibri" w:hAnsi="Arial" w:cs="Arial"/>
          <w:spacing w:val="-1"/>
          <w:sz w:val="24"/>
          <w:szCs w:val="24"/>
        </w:rPr>
        <w:t>-</w:t>
      </w:r>
      <w:r w:rsidRPr="00C1069A">
        <w:rPr>
          <w:rFonts w:ascii="Arial" w:eastAsia="Calibri" w:hAnsi="Arial" w:cs="Arial"/>
          <w:sz w:val="24"/>
          <w:szCs w:val="24"/>
        </w:rPr>
        <w:t>0</w:t>
      </w:r>
      <w:r w:rsidRPr="00C1069A">
        <w:rPr>
          <w:rFonts w:ascii="Arial" w:eastAsia="Calibri" w:hAnsi="Arial" w:cs="Arial"/>
          <w:spacing w:val="-2"/>
          <w:sz w:val="24"/>
          <w:szCs w:val="24"/>
        </w:rPr>
        <w:t>4</w:t>
      </w:r>
      <w:r w:rsidRPr="00C1069A">
        <w:rPr>
          <w:rFonts w:ascii="Arial" w:eastAsia="Calibri" w:hAnsi="Arial" w:cs="Arial"/>
          <w:sz w:val="24"/>
          <w:szCs w:val="24"/>
        </w:rPr>
        <w:t>00</w:t>
      </w:r>
      <w:r w:rsidRPr="00C1069A">
        <w:rPr>
          <w:rFonts w:ascii="Arial" w:eastAsia="Calibri" w:hAnsi="Arial" w:cs="Arial"/>
          <w:spacing w:val="-1"/>
          <w:sz w:val="24"/>
          <w:szCs w:val="24"/>
        </w:rPr>
        <w:t xml:space="preserve"> </w:t>
      </w:r>
      <w:r w:rsidRPr="00C1069A">
        <w:rPr>
          <w:rFonts w:ascii="Arial" w:eastAsia="Calibri" w:hAnsi="Arial" w:cs="Arial"/>
          <w:sz w:val="24"/>
          <w:szCs w:val="24"/>
        </w:rPr>
        <w:t xml:space="preserve">or </w:t>
      </w:r>
      <w:r w:rsidRPr="00C1069A">
        <w:rPr>
          <w:rFonts w:ascii="Arial" w:eastAsia="Calibri" w:hAnsi="Arial" w:cs="Arial"/>
          <w:spacing w:val="-2"/>
          <w:sz w:val="24"/>
          <w:szCs w:val="24"/>
        </w:rPr>
        <w:t>v</w:t>
      </w:r>
      <w:r w:rsidRPr="00C1069A">
        <w:rPr>
          <w:rFonts w:ascii="Arial" w:eastAsia="Calibri" w:hAnsi="Arial" w:cs="Arial"/>
          <w:spacing w:val="-1"/>
          <w:sz w:val="24"/>
          <w:szCs w:val="24"/>
        </w:rPr>
        <w:t>i</w:t>
      </w:r>
      <w:r w:rsidRPr="00C1069A">
        <w:rPr>
          <w:rFonts w:ascii="Arial" w:eastAsia="Calibri" w:hAnsi="Arial" w:cs="Arial"/>
          <w:sz w:val="24"/>
          <w:szCs w:val="24"/>
        </w:rPr>
        <w:t>a</w:t>
      </w:r>
      <w:r w:rsidRPr="00C1069A">
        <w:rPr>
          <w:rFonts w:ascii="Arial" w:eastAsia="Calibri" w:hAnsi="Arial" w:cs="Arial"/>
          <w:spacing w:val="2"/>
          <w:sz w:val="24"/>
          <w:szCs w:val="24"/>
        </w:rPr>
        <w:t xml:space="preserve"> </w:t>
      </w:r>
      <w:r w:rsidRPr="00C1069A">
        <w:rPr>
          <w:rFonts w:ascii="Arial" w:eastAsia="Calibri" w:hAnsi="Arial" w:cs="Arial"/>
          <w:sz w:val="24"/>
          <w:szCs w:val="24"/>
        </w:rPr>
        <w:t>e</w:t>
      </w:r>
      <w:r w:rsidRPr="00C1069A">
        <w:rPr>
          <w:rFonts w:ascii="Arial" w:eastAsia="Calibri" w:hAnsi="Arial" w:cs="Arial"/>
          <w:spacing w:val="-1"/>
          <w:sz w:val="24"/>
          <w:szCs w:val="24"/>
        </w:rPr>
        <w:t>-</w:t>
      </w:r>
      <w:r w:rsidRPr="00C1069A">
        <w:rPr>
          <w:rFonts w:ascii="Arial" w:eastAsia="Calibri" w:hAnsi="Arial" w:cs="Arial"/>
          <w:spacing w:val="2"/>
          <w:sz w:val="24"/>
          <w:szCs w:val="24"/>
        </w:rPr>
        <w:t>m</w:t>
      </w:r>
      <w:r w:rsidRPr="00C1069A">
        <w:rPr>
          <w:rFonts w:ascii="Arial" w:eastAsia="Calibri" w:hAnsi="Arial" w:cs="Arial"/>
          <w:sz w:val="24"/>
          <w:szCs w:val="24"/>
        </w:rPr>
        <w:t xml:space="preserve">ail at </w:t>
      </w:r>
      <w:hyperlink r:id="rId78" w:tooltip="OALMnewsletter@mail.nih.gov" w:history="1">
        <w:r w:rsidRPr="00C1069A">
          <w:rPr>
            <w:rFonts w:ascii="Arial" w:eastAsia="Calibri" w:hAnsi="Arial" w:cs="Arial"/>
            <w:color w:val="0563C1"/>
            <w:sz w:val="24"/>
            <w:szCs w:val="24"/>
            <w:u w:val="single"/>
          </w:rPr>
          <w:t>OALMnewsletter@mail.nih.gov</w:t>
        </w:r>
      </w:hyperlink>
      <w:hyperlink>
        <w:r w:rsidRPr="00C1069A">
          <w:rPr>
            <w:rFonts w:ascii="Arial" w:eastAsia="Calibri" w:hAnsi="Arial" w:cs="Arial"/>
            <w:color w:val="000000"/>
            <w:sz w:val="24"/>
            <w:szCs w:val="24"/>
          </w:rPr>
          <w:t xml:space="preserve"> and</w:t>
        </w:r>
        <w:r w:rsidRPr="00C1069A">
          <w:rPr>
            <w:rFonts w:ascii="Arial" w:eastAsia="Calibri" w:hAnsi="Arial" w:cs="Arial"/>
            <w:color w:val="000000"/>
            <w:spacing w:val="-1"/>
            <w:sz w:val="24"/>
            <w:szCs w:val="24"/>
          </w:rPr>
          <w:t xml:space="preserve"> </w:t>
        </w:r>
        <w:r w:rsidRPr="00C1069A">
          <w:rPr>
            <w:rFonts w:ascii="Arial" w:eastAsia="Calibri" w:hAnsi="Arial" w:cs="Arial"/>
            <w:color w:val="000000"/>
            <w:spacing w:val="-2"/>
            <w:sz w:val="24"/>
            <w:szCs w:val="24"/>
          </w:rPr>
          <w:t>y</w:t>
        </w:r>
        <w:r w:rsidRPr="00C1069A">
          <w:rPr>
            <w:rFonts w:ascii="Arial" w:eastAsia="Calibri" w:hAnsi="Arial" w:cs="Arial"/>
            <w:color w:val="000000"/>
            <w:sz w:val="24"/>
            <w:szCs w:val="24"/>
          </w:rPr>
          <w:t>ou</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3"/>
            <w:sz w:val="24"/>
            <w:szCs w:val="24"/>
          </w:rPr>
          <w:t>w</w:t>
        </w:r>
        <w:r w:rsidRPr="00C1069A">
          <w:rPr>
            <w:rFonts w:ascii="Arial" w:eastAsia="Calibri" w:hAnsi="Arial" w:cs="Arial"/>
            <w:color w:val="000000"/>
            <w:spacing w:val="-1"/>
            <w:sz w:val="24"/>
            <w:szCs w:val="24"/>
          </w:rPr>
          <w:t>il</w:t>
        </w:r>
        <w:r w:rsidRPr="00C1069A">
          <w:rPr>
            <w:rFonts w:ascii="Arial" w:eastAsia="Calibri" w:hAnsi="Arial" w:cs="Arial"/>
            <w:color w:val="000000"/>
            <w:sz w:val="24"/>
            <w:szCs w:val="24"/>
          </w:rPr>
          <w:t xml:space="preserve">l be </w:t>
        </w:r>
        <w:r w:rsidRPr="00C1069A">
          <w:rPr>
            <w:rFonts w:ascii="Arial" w:eastAsia="Calibri" w:hAnsi="Arial" w:cs="Arial"/>
            <w:color w:val="000000"/>
            <w:spacing w:val="-1"/>
            <w:sz w:val="24"/>
            <w:szCs w:val="24"/>
          </w:rPr>
          <w:t>r</w:t>
        </w:r>
        <w:r w:rsidRPr="00C1069A">
          <w:rPr>
            <w:rFonts w:ascii="Arial" w:eastAsia="Calibri" w:hAnsi="Arial" w:cs="Arial"/>
            <w:color w:val="000000"/>
            <w:sz w:val="24"/>
            <w:szCs w:val="24"/>
          </w:rPr>
          <w:t>efe</w:t>
        </w:r>
        <w:r w:rsidRPr="00C1069A">
          <w:rPr>
            <w:rFonts w:ascii="Arial" w:eastAsia="Calibri" w:hAnsi="Arial" w:cs="Arial"/>
            <w:color w:val="000000"/>
            <w:spacing w:val="-1"/>
            <w:sz w:val="24"/>
            <w:szCs w:val="24"/>
          </w:rPr>
          <w:t>rr</w:t>
        </w:r>
        <w:r w:rsidRPr="00C1069A">
          <w:rPr>
            <w:rFonts w:ascii="Arial" w:eastAsia="Calibri" w:hAnsi="Arial" w:cs="Arial"/>
            <w:color w:val="000000"/>
            <w:sz w:val="24"/>
            <w:szCs w:val="24"/>
          </w:rPr>
          <w:t>ed</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2"/>
            <w:sz w:val="24"/>
            <w:szCs w:val="24"/>
          </w:rPr>
          <w:t>t</w:t>
        </w:r>
        <w:r w:rsidRPr="00C1069A">
          <w:rPr>
            <w:rFonts w:ascii="Arial" w:eastAsia="Calibri" w:hAnsi="Arial" w:cs="Arial"/>
            <w:color w:val="000000"/>
            <w:sz w:val="24"/>
            <w:szCs w:val="24"/>
          </w:rPr>
          <w:t>o</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z w:val="24"/>
            <w:szCs w:val="24"/>
          </w:rPr>
          <w:t>t</w:t>
        </w:r>
        <w:r w:rsidRPr="00C1069A">
          <w:rPr>
            <w:rFonts w:ascii="Arial" w:eastAsia="Calibri" w:hAnsi="Arial" w:cs="Arial"/>
            <w:color w:val="000000"/>
            <w:spacing w:val="-1"/>
            <w:sz w:val="24"/>
            <w:szCs w:val="24"/>
          </w:rPr>
          <w:t>h</w:t>
        </w:r>
        <w:r w:rsidRPr="00C1069A">
          <w:rPr>
            <w:rFonts w:ascii="Arial" w:eastAsia="Calibri" w:hAnsi="Arial" w:cs="Arial"/>
            <w:color w:val="000000"/>
            <w:sz w:val="24"/>
            <w:szCs w:val="24"/>
          </w:rPr>
          <w:t>e</w:t>
        </w:r>
        <w:r w:rsidRPr="00C1069A">
          <w:rPr>
            <w:rFonts w:ascii="Arial" w:eastAsia="Calibri" w:hAnsi="Arial" w:cs="Arial"/>
            <w:color w:val="000000"/>
            <w:spacing w:val="2"/>
            <w:sz w:val="24"/>
            <w:szCs w:val="24"/>
          </w:rPr>
          <w:t xml:space="preserve"> </w:t>
        </w:r>
        <w:r w:rsidRPr="00C1069A">
          <w:rPr>
            <w:rFonts w:ascii="Arial" w:eastAsia="Calibri" w:hAnsi="Arial" w:cs="Arial"/>
            <w:color w:val="000000"/>
            <w:spacing w:val="-1"/>
            <w:sz w:val="24"/>
            <w:szCs w:val="24"/>
          </w:rPr>
          <w:t>a</w:t>
        </w:r>
        <w:r w:rsidRPr="00C1069A">
          <w:rPr>
            <w:rFonts w:ascii="Arial" w:eastAsia="Calibri" w:hAnsi="Arial" w:cs="Arial"/>
            <w:color w:val="000000"/>
            <w:sz w:val="24"/>
            <w:szCs w:val="24"/>
          </w:rPr>
          <w:t>pp</w:t>
        </w:r>
        <w:r w:rsidRPr="00C1069A">
          <w:rPr>
            <w:rFonts w:ascii="Arial" w:eastAsia="Calibri" w:hAnsi="Arial" w:cs="Arial"/>
            <w:color w:val="000000"/>
            <w:spacing w:val="-1"/>
            <w:sz w:val="24"/>
            <w:szCs w:val="24"/>
          </w:rPr>
          <w:t>ro</w:t>
        </w:r>
        <w:r w:rsidRPr="00C1069A">
          <w:rPr>
            <w:rFonts w:ascii="Arial" w:eastAsia="Calibri" w:hAnsi="Arial" w:cs="Arial"/>
            <w:color w:val="000000"/>
            <w:sz w:val="24"/>
            <w:szCs w:val="24"/>
          </w:rPr>
          <w:t>p</w:t>
        </w:r>
        <w:r w:rsidRPr="00C1069A">
          <w:rPr>
            <w:rFonts w:ascii="Arial" w:eastAsia="Calibri" w:hAnsi="Arial" w:cs="Arial"/>
            <w:color w:val="000000"/>
            <w:spacing w:val="-1"/>
            <w:sz w:val="24"/>
            <w:szCs w:val="24"/>
          </w:rPr>
          <w:t>ri</w:t>
        </w:r>
        <w:r w:rsidRPr="00C1069A">
          <w:rPr>
            <w:rFonts w:ascii="Arial" w:eastAsia="Calibri" w:hAnsi="Arial" w:cs="Arial"/>
            <w:color w:val="000000"/>
            <w:sz w:val="24"/>
            <w:szCs w:val="24"/>
          </w:rPr>
          <w:t>ate</w:t>
        </w:r>
        <w:r w:rsidRPr="00C1069A">
          <w:rPr>
            <w:rFonts w:ascii="Arial" w:eastAsia="Calibri" w:hAnsi="Arial" w:cs="Arial"/>
            <w:color w:val="000000"/>
            <w:spacing w:val="-1"/>
            <w:sz w:val="24"/>
            <w:szCs w:val="24"/>
          </w:rPr>
          <w:t xml:space="preserve"> </w:t>
        </w:r>
        <w:r w:rsidRPr="00C1069A">
          <w:rPr>
            <w:rFonts w:ascii="Arial" w:eastAsia="Calibri" w:hAnsi="Arial" w:cs="Arial"/>
            <w:color w:val="000000"/>
            <w:sz w:val="24"/>
            <w:szCs w:val="24"/>
          </w:rPr>
          <w:t>ed</w:t>
        </w:r>
        <w:r w:rsidRPr="00C1069A">
          <w:rPr>
            <w:rFonts w:ascii="Arial" w:eastAsia="Calibri" w:hAnsi="Arial" w:cs="Arial"/>
            <w:color w:val="000000"/>
            <w:spacing w:val="-1"/>
            <w:sz w:val="24"/>
            <w:szCs w:val="24"/>
          </w:rPr>
          <w:t>i</w:t>
        </w:r>
        <w:r w:rsidRPr="00C1069A">
          <w:rPr>
            <w:rFonts w:ascii="Arial" w:eastAsia="Calibri" w:hAnsi="Arial" w:cs="Arial"/>
            <w:color w:val="000000"/>
            <w:sz w:val="24"/>
            <w:szCs w:val="24"/>
          </w:rPr>
          <w:t>to</w:t>
        </w:r>
        <w:r w:rsidRPr="00C1069A">
          <w:rPr>
            <w:rFonts w:ascii="Arial" w:eastAsia="Calibri" w:hAnsi="Arial" w:cs="Arial"/>
            <w:color w:val="000000"/>
            <w:spacing w:val="-1"/>
            <w:sz w:val="24"/>
            <w:szCs w:val="24"/>
          </w:rPr>
          <w:t>r</w:t>
        </w:r>
        <w:r w:rsidRPr="00C1069A">
          <w:rPr>
            <w:rFonts w:ascii="Arial" w:eastAsia="Calibri" w:hAnsi="Arial" w:cs="Arial"/>
            <w:color w:val="000000"/>
            <w:sz w:val="24"/>
            <w:szCs w:val="24"/>
          </w:rPr>
          <w:t>.</w:t>
        </w:r>
      </w:hyperlink>
    </w:p>
    <w:sectPr w:rsidR="00285777" w:rsidRPr="00E21CC1" w:rsidSect="00086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1A43" w14:textId="77777777" w:rsidR="00166DB5" w:rsidRDefault="00166DB5" w:rsidP="00E168A5">
      <w:pPr>
        <w:spacing w:after="0" w:line="240" w:lineRule="auto"/>
      </w:pPr>
      <w:r>
        <w:separator/>
      </w:r>
    </w:p>
  </w:endnote>
  <w:endnote w:type="continuationSeparator" w:id="0">
    <w:p w14:paraId="16574A6D" w14:textId="77777777" w:rsidR="00166DB5" w:rsidRDefault="00166DB5" w:rsidP="00E1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482C" w14:textId="77777777" w:rsidR="00166DB5" w:rsidRDefault="00166DB5" w:rsidP="00E168A5">
      <w:pPr>
        <w:spacing w:after="0" w:line="240" w:lineRule="auto"/>
      </w:pPr>
      <w:r>
        <w:separator/>
      </w:r>
    </w:p>
  </w:footnote>
  <w:footnote w:type="continuationSeparator" w:id="0">
    <w:p w14:paraId="297A4AF2" w14:textId="77777777" w:rsidR="00166DB5" w:rsidRDefault="00166DB5" w:rsidP="00E16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658"/>
    <w:multiLevelType w:val="multilevel"/>
    <w:tmpl w:val="CAE8B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AD7B9F"/>
    <w:multiLevelType w:val="hybridMultilevel"/>
    <w:tmpl w:val="BCA2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A6A5E"/>
    <w:multiLevelType w:val="hybridMultilevel"/>
    <w:tmpl w:val="68C00AE6"/>
    <w:lvl w:ilvl="0" w:tplc="CD3E5496">
      <w:start w:val="88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E3646"/>
    <w:multiLevelType w:val="hybridMultilevel"/>
    <w:tmpl w:val="A86E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3669A"/>
    <w:multiLevelType w:val="multilevel"/>
    <w:tmpl w:val="7EF8983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9D69AB"/>
    <w:multiLevelType w:val="hybridMultilevel"/>
    <w:tmpl w:val="117C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905A91"/>
    <w:multiLevelType w:val="hybridMultilevel"/>
    <w:tmpl w:val="8FCE3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E41D54"/>
    <w:multiLevelType w:val="hybridMultilevel"/>
    <w:tmpl w:val="4EE87954"/>
    <w:lvl w:ilvl="0" w:tplc="38347E86">
      <w:start w:val="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978AC"/>
    <w:multiLevelType w:val="hybridMultilevel"/>
    <w:tmpl w:val="74E61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D217E"/>
    <w:multiLevelType w:val="hybridMultilevel"/>
    <w:tmpl w:val="343E9AFC"/>
    <w:lvl w:ilvl="0" w:tplc="FE2EC752">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060A2"/>
    <w:multiLevelType w:val="hybridMultilevel"/>
    <w:tmpl w:val="DDF4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C2143"/>
    <w:multiLevelType w:val="hybridMultilevel"/>
    <w:tmpl w:val="537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9B"/>
    <w:rsid w:val="0005495D"/>
    <w:rsid w:val="00086392"/>
    <w:rsid w:val="000E6C3E"/>
    <w:rsid w:val="00121D37"/>
    <w:rsid w:val="001221B2"/>
    <w:rsid w:val="00122BB7"/>
    <w:rsid w:val="00126E62"/>
    <w:rsid w:val="001453A1"/>
    <w:rsid w:val="00154EFA"/>
    <w:rsid w:val="00157B2D"/>
    <w:rsid w:val="00166DB5"/>
    <w:rsid w:val="001C26D6"/>
    <w:rsid w:val="001D20FC"/>
    <w:rsid w:val="001D6B2D"/>
    <w:rsid w:val="002418E7"/>
    <w:rsid w:val="00256B84"/>
    <w:rsid w:val="002743A6"/>
    <w:rsid w:val="002768F2"/>
    <w:rsid w:val="00285777"/>
    <w:rsid w:val="002A0DA6"/>
    <w:rsid w:val="002A489C"/>
    <w:rsid w:val="002D41C8"/>
    <w:rsid w:val="002F2920"/>
    <w:rsid w:val="003020A9"/>
    <w:rsid w:val="00350E58"/>
    <w:rsid w:val="00383AED"/>
    <w:rsid w:val="004229E9"/>
    <w:rsid w:val="0042596E"/>
    <w:rsid w:val="004576F3"/>
    <w:rsid w:val="004667B5"/>
    <w:rsid w:val="004A6979"/>
    <w:rsid w:val="004C4EDB"/>
    <w:rsid w:val="004D5F80"/>
    <w:rsid w:val="0053156E"/>
    <w:rsid w:val="00546426"/>
    <w:rsid w:val="00556AD2"/>
    <w:rsid w:val="00576399"/>
    <w:rsid w:val="00583D42"/>
    <w:rsid w:val="0058729B"/>
    <w:rsid w:val="005C352D"/>
    <w:rsid w:val="005C758C"/>
    <w:rsid w:val="005F7EDD"/>
    <w:rsid w:val="00635285"/>
    <w:rsid w:val="00655CE9"/>
    <w:rsid w:val="006A184B"/>
    <w:rsid w:val="006B4397"/>
    <w:rsid w:val="006B7DFF"/>
    <w:rsid w:val="00713964"/>
    <w:rsid w:val="00795A99"/>
    <w:rsid w:val="007B5B98"/>
    <w:rsid w:val="007F2893"/>
    <w:rsid w:val="007F6EA7"/>
    <w:rsid w:val="007F773D"/>
    <w:rsid w:val="00863E97"/>
    <w:rsid w:val="0090145C"/>
    <w:rsid w:val="0092222F"/>
    <w:rsid w:val="00943511"/>
    <w:rsid w:val="00961CBE"/>
    <w:rsid w:val="00982B80"/>
    <w:rsid w:val="009A6271"/>
    <w:rsid w:val="00A032FF"/>
    <w:rsid w:val="00A16A79"/>
    <w:rsid w:val="00A406AE"/>
    <w:rsid w:val="00A5769E"/>
    <w:rsid w:val="00A71D04"/>
    <w:rsid w:val="00A8321E"/>
    <w:rsid w:val="00AA08EE"/>
    <w:rsid w:val="00AD69EA"/>
    <w:rsid w:val="00AF1DB8"/>
    <w:rsid w:val="00B27D52"/>
    <w:rsid w:val="00BA5574"/>
    <w:rsid w:val="00BC317D"/>
    <w:rsid w:val="00C1069A"/>
    <w:rsid w:val="00CB63DD"/>
    <w:rsid w:val="00CB6BB5"/>
    <w:rsid w:val="00CD557B"/>
    <w:rsid w:val="00CE0D4B"/>
    <w:rsid w:val="00CE20E5"/>
    <w:rsid w:val="00CE4760"/>
    <w:rsid w:val="00D17BB8"/>
    <w:rsid w:val="00D40910"/>
    <w:rsid w:val="00D733A4"/>
    <w:rsid w:val="00D92EE5"/>
    <w:rsid w:val="00DD2AE4"/>
    <w:rsid w:val="00DD4480"/>
    <w:rsid w:val="00DE313B"/>
    <w:rsid w:val="00E168A5"/>
    <w:rsid w:val="00E21CC1"/>
    <w:rsid w:val="00E50F52"/>
    <w:rsid w:val="00E820AA"/>
    <w:rsid w:val="00ED2DB9"/>
    <w:rsid w:val="00ED5BF6"/>
    <w:rsid w:val="00EE54C0"/>
    <w:rsid w:val="00F07A30"/>
    <w:rsid w:val="00F1153B"/>
    <w:rsid w:val="00F203BC"/>
    <w:rsid w:val="00F46ED7"/>
    <w:rsid w:val="00F60AF0"/>
    <w:rsid w:val="00F67854"/>
    <w:rsid w:val="00FD2307"/>
    <w:rsid w:val="00FE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AC7C"/>
  <w15:chartTrackingRefBased/>
  <w15:docId w15:val="{52C56B41-113E-4DFC-9EFE-3D8EE69D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F52"/>
    <w:pPr>
      <w:spacing w:line="240" w:lineRule="auto"/>
      <w:jc w:val="center"/>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29B"/>
    <w:rPr>
      <w:color w:val="0563C1" w:themeColor="hyperlink"/>
      <w:u w:val="single"/>
    </w:rPr>
  </w:style>
  <w:style w:type="character" w:styleId="UnresolvedMention">
    <w:name w:val="Unresolved Mention"/>
    <w:basedOn w:val="DefaultParagraphFont"/>
    <w:uiPriority w:val="99"/>
    <w:semiHidden/>
    <w:unhideWhenUsed/>
    <w:rsid w:val="0058729B"/>
    <w:rPr>
      <w:color w:val="605E5C"/>
      <w:shd w:val="clear" w:color="auto" w:fill="E1DFDD"/>
    </w:rPr>
  </w:style>
  <w:style w:type="table" w:customStyle="1" w:styleId="TableGrid1">
    <w:name w:val="Table Grid1"/>
    <w:basedOn w:val="TableNormal"/>
    <w:next w:val="TableGrid"/>
    <w:uiPriority w:val="39"/>
    <w:rsid w:val="0028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8E7"/>
    <w:rPr>
      <w:color w:val="954F72" w:themeColor="followedHyperlink"/>
      <w:u w:val="single"/>
    </w:rPr>
  </w:style>
  <w:style w:type="character" w:styleId="CommentReference">
    <w:name w:val="annotation reference"/>
    <w:basedOn w:val="DefaultParagraphFont"/>
    <w:uiPriority w:val="99"/>
    <w:semiHidden/>
    <w:unhideWhenUsed/>
    <w:rsid w:val="00122BB7"/>
    <w:rPr>
      <w:sz w:val="16"/>
      <w:szCs w:val="16"/>
    </w:rPr>
  </w:style>
  <w:style w:type="paragraph" w:styleId="CommentText">
    <w:name w:val="annotation text"/>
    <w:basedOn w:val="Normal"/>
    <w:link w:val="CommentTextChar"/>
    <w:uiPriority w:val="99"/>
    <w:semiHidden/>
    <w:unhideWhenUsed/>
    <w:rsid w:val="00122BB7"/>
    <w:pPr>
      <w:spacing w:line="240" w:lineRule="auto"/>
    </w:pPr>
    <w:rPr>
      <w:sz w:val="20"/>
      <w:szCs w:val="20"/>
    </w:rPr>
  </w:style>
  <w:style w:type="character" w:customStyle="1" w:styleId="CommentTextChar">
    <w:name w:val="Comment Text Char"/>
    <w:basedOn w:val="DefaultParagraphFont"/>
    <w:link w:val="CommentText"/>
    <w:uiPriority w:val="99"/>
    <w:semiHidden/>
    <w:rsid w:val="00122BB7"/>
    <w:rPr>
      <w:sz w:val="20"/>
      <w:szCs w:val="20"/>
    </w:rPr>
  </w:style>
  <w:style w:type="paragraph" w:styleId="CommentSubject">
    <w:name w:val="annotation subject"/>
    <w:basedOn w:val="CommentText"/>
    <w:next w:val="CommentText"/>
    <w:link w:val="CommentSubjectChar"/>
    <w:uiPriority w:val="99"/>
    <w:semiHidden/>
    <w:unhideWhenUsed/>
    <w:rsid w:val="00122BB7"/>
    <w:rPr>
      <w:b/>
      <w:bCs/>
    </w:rPr>
  </w:style>
  <w:style w:type="character" w:customStyle="1" w:styleId="CommentSubjectChar">
    <w:name w:val="Comment Subject Char"/>
    <w:basedOn w:val="CommentTextChar"/>
    <w:link w:val="CommentSubject"/>
    <w:uiPriority w:val="99"/>
    <w:semiHidden/>
    <w:rsid w:val="00122BB7"/>
    <w:rPr>
      <w:b/>
      <w:bCs/>
      <w:sz w:val="20"/>
      <w:szCs w:val="20"/>
    </w:rPr>
  </w:style>
  <w:style w:type="paragraph" w:styleId="BalloonText">
    <w:name w:val="Balloon Text"/>
    <w:basedOn w:val="Normal"/>
    <w:link w:val="BalloonTextChar"/>
    <w:uiPriority w:val="99"/>
    <w:semiHidden/>
    <w:unhideWhenUsed/>
    <w:rsid w:val="00122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B7"/>
    <w:rPr>
      <w:rFonts w:ascii="Segoe UI" w:hAnsi="Segoe UI" w:cs="Segoe UI"/>
      <w:sz w:val="18"/>
      <w:szCs w:val="18"/>
    </w:rPr>
  </w:style>
  <w:style w:type="paragraph" w:styleId="ListParagraph">
    <w:name w:val="List Paragraph"/>
    <w:basedOn w:val="Normal"/>
    <w:uiPriority w:val="34"/>
    <w:qFormat/>
    <w:rsid w:val="00556AD2"/>
    <w:pPr>
      <w:spacing w:after="0" w:line="240" w:lineRule="auto"/>
      <w:ind w:left="720"/>
      <w:contextualSpacing/>
    </w:pPr>
    <w:rPr>
      <w:rFonts w:ascii="Calibri" w:hAnsi="Calibri" w:cs="Calibri"/>
    </w:rPr>
  </w:style>
  <w:style w:type="paragraph" w:customStyle="1" w:styleId="xmsonormal">
    <w:name w:val="x_msonormal"/>
    <w:basedOn w:val="Normal"/>
    <w:rsid w:val="00556AD2"/>
    <w:pPr>
      <w:spacing w:after="0" w:line="240" w:lineRule="auto"/>
    </w:pPr>
    <w:rPr>
      <w:rFonts w:ascii="Calibri" w:hAnsi="Calibri" w:cs="Calibri"/>
    </w:rPr>
  </w:style>
  <w:style w:type="character" w:styleId="Strong">
    <w:name w:val="Strong"/>
    <w:basedOn w:val="DefaultParagraphFont"/>
    <w:uiPriority w:val="22"/>
    <w:qFormat/>
    <w:rsid w:val="00556AD2"/>
    <w:rPr>
      <w:b/>
      <w:bCs/>
    </w:rPr>
  </w:style>
  <w:style w:type="paragraph" w:styleId="FootnoteText">
    <w:name w:val="footnote text"/>
    <w:basedOn w:val="Normal"/>
    <w:link w:val="FootnoteTextChar"/>
    <w:uiPriority w:val="99"/>
    <w:semiHidden/>
    <w:unhideWhenUsed/>
    <w:rsid w:val="00E16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8A5"/>
    <w:rPr>
      <w:sz w:val="20"/>
      <w:szCs w:val="20"/>
    </w:rPr>
  </w:style>
  <w:style w:type="character" w:styleId="FootnoteReference">
    <w:name w:val="footnote reference"/>
    <w:basedOn w:val="DefaultParagraphFont"/>
    <w:uiPriority w:val="99"/>
    <w:semiHidden/>
    <w:unhideWhenUsed/>
    <w:rsid w:val="00E168A5"/>
    <w:rPr>
      <w:vertAlign w:val="superscript"/>
    </w:rPr>
  </w:style>
  <w:style w:type="paragraph" w:styleId="Title">
    <w:name w:val="Title"/>
    <w:basedOn w:val="Normal"/>
    <w:next w:val="Normal"/>
    <w:link w:val="TitleChar"/>
    <w:uiPriority w:val="10"/>
    <w:qFormat/>
    <w:rsid w:val="00E50F52"/>
    <w:pPr>
      <w:spacing w:line="240" w:lineRule="auto"/>
      <w:jc w:val="center"/>
    </w:pPr>
    <w:rPr>
      <w:rFonts w:ascii="Arial" w:hAnsi="Arial" w:cs="Arial"/>
      <w:b/>
      <w:bCs/>
      <w:sz w:val="40"/>
      <w:szCs w:val="40"/>
    </w:rPr>
  </w:style>
  <w:style w:type="character" w:customStyle="1" w:styleId="TitleChar">
    <w:name w:val="Title Char"/>
    <w:basedOn w:val="DefaultParagraphFont"/>
    <w:link w:val="Title"/>
    <w:uiPriority w:val="10"/>
    <w:rsid w:val="00E50F52"/>
    <w:rPr>
      <w:rFonts w:ascii="Arial" w:hAnsi="Arial" w:cs="Arial"/>
      <w:b/>
      <w:bCs/>
      <w:sz w:val="40"/>
      <w:szCs w:val="40"/>
    </w:rPr>
  </w:style>
  <w:style w:type="character" w:customStyle="1" w:styleId="Heading1Char">
    <w:name w:val="Heading 1 Char"/>
    <w:basedOn w:val="DefaultParagraphFont"/>
    <w:link w:val="Heading1"/>
    <w:uiPriority w:val="9"/>
    <w:rsid w:val="00E50F52"/>
    <w:rPr>
      <w:rFonts w:ascii="Arial" w:hAnsi="Arial" w:cs="Arial"/>
      <w:b/>
      <w:bCs/>
      <w:sz w:val="32"/>
      <w:szCs w:val="32"/>
    </w:rPr>
  </w:style>
  <w:style w:type="table" w:styleId="GridTable4-Accent1">
    <w:name w:val="Grid Table 4 Accent 1"/>
    <w:basedOn w:val="TableNormal"/>
    <w:uiPriority w:val="49"/>
    <w:rsid w:val="00E21CC1"/>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AA08EE"/>
    <w:pPr>
      <w:spacing w:before="100" w:beforeAutospacing="1" w:after="100" w:afterAutospacing="1" w:line="240" w:lineRule="auto"/>
    </w:pPr>
    <w:rPr>
      <w:rFonts w:ascii="Calibri" w:hAnsi="Calibri" w:cs="Calibri"/>
    </w:rPr>
  </w:style>
  <w:style w:type="table" w:styleId="GridTable4">
    <w:name w:val="Grid Table 4"/>
    <w:basedOn w:val="TableNormal"/>
    <w:uiPriority w:val="49"/>
    <w:rsid w:val="00EE54C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7738">
      <w:bodyDiv w:val="1"/>
      <w:marLeft w:val="0"/>
      <w:marRight w:val="0"/>
      <w:marTop w:val="0"/>
      <w:marBottom w:val="0"/>
      <w:divBdr>
        <w:top w:val="none" w:sz="0" w:space="0" w:color="auto"/>
        <w:left w:val="none" w:sz="0" w:space="0" w:color="auto"/>
        <w:bottom w:val="none" w:sz="0" w:space="0" w:color="auto"/>
        <w:right w:val="none" w:sz="0" w:space="0" w:color="auto"/>
      </w:divBdr>
    </w:div>
    <w:div w:id="596405768">
      <w:bodyDiv w:val="1"/>
      <w:marLeft w:val="0"/>
      <w:marRight w:val="0"/>
      <w:marTop w:val="0"/>
      <w:marBottom w:val="0"/>
      <w:divBdr>
        <w:top w:val="none" w:sz="0" w:space="0" w:color="auto"/>
        <w:left w:val="none" w:sz="0" w:space="0" w:color="auto"/>
        <w:bottom w:val="none" w:sz="0" w:space="0" w:color="auto"/>
        <w:right w:val="none" w:sz="0" w:space="0" w:color="auto"/>
      </w:divBdr>
    </w:div>
    <w:div w:id="906113316">
      <w:bodyDiv w:val="1"/>
      <w:marLeft w:val="0"/>
      <w:marRight w:val="0"/>
      <w:marTop w:val="0"/>
      <w:marBottom w:val="0"/>
      <w:divBdr>
        <w:top w:val="none" w:sz="0" w:space="0" w:color="auto"/>
        <w:left w:val="none" w:sz="0" w:space="0" w:color="auto"/>
        <w:bottom w:val="none" w:sz="0" w:space="0" w:color="auto"/>
        <w:right w:val="none" w:sz="0" w:space="0" w:color="auto"/>
      </w:divBdr>
    </w:div>
    <w:div w:id="1790511588">
      <w:bodyDiv w:val="1"/>
      <w:marLeft w:val="0"/>
      <w:marRight w:val="0"/>
      <w:marTop w:val="0"/>
      <w:marBottom w:val="0"/>
      <w:divBdr>
        <w:top w:val="none" w:sz="0" w:space="0" w:color="auto"/>
        <w:left w:val="none" w:sz="0" w:space="0" w:color="auto"/>
        <w:bottom w:val="none" w:sz="0" w:space="0" w:color="auto"/>
        <w:right w:val="none" w:sz="0" w:space="0" w:color="auto"/>
      </w:divBdr>
    </w:div>
    <w:div w:id="18503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ks.gd/l/eyJhbGciOiJIUzI1NiJ9.eyJidWxsZXRpbl9saW5rX2lkIjoxMDAsInVyaSI6ImJwMjpjbGljayIsImJ1bGxldGluX2lkIjoiMjAyMDExMTYuMzA1NTU2ODEiLCJ1cmwiOiJodHRwOi8vZ28udXNhLmdvdi94RUdXcyJ9.O2Ikm5MGjH3Xj9gBbxql9kMjRA6IzjfoVWWp_mPx9pc/s/729482943/br/89834929608-l" TargetMode="External"/><Relationship Id="rId18" Type="http://schemas.openxmlformats.org/officeDocument/2006/relationships/hyperlink" Target="https://www.gsa.gov/cdnstatic/Summary%20of%20Schedule%20Support%20Items.pdf" TargetMode="External"/><Relationship Id="rId26" Type="http://schemas.openxmlformats.org/officeDocument/2006/relationships/hyperlink" Target="https://www.acquisition.gov/far/part-12" TargetMode="External"/><Relationship Id="rId39" Type="http://schemas.openxmlformats.org/officeDocument/2006/relationships/image" Target="media/image3.jpeg"/><Relationship Id="rId21" Type="http://schemas.openxmlformats.org/officeDocument/2006/relationships/hyperlink" Target="https://www.acquisition.gov/content/552.238-115-special-ordering-procedures-acquisition-order-level-materials." TargetMode="External"/><Relationship Id="rId34" Type="http://schemas.openxmlformats.org/officeDocument/2006/relationships/hyperlink" Target="https://www.whitehouse.gov/wp-content/uploads/2020/07/M-20-28.pdf" TargetMode="External"/><Relationship Id="rId42" Type="http://schemas.openxmlformats.org/officeDocument/2006/relationships/image" Target="media/image4.png"/><Relationship Id="rId47" Type="http://schemas.openxmlformats.org/officeDocument/2006/relationships/hyperlink" Target="https://nitaac.nih.gov/nitaac/about" TargetMode="External"/><Relationship Id="rId50" Type="http://schemas.openxmlformats.org/officeDocument/2006/relationships/hyperlink" Target="https://nitaac.nih.gov/nitaac/contracts/cio-cs" TargetMode="External"/><Relationship Id="rId55" Type="http://schemas.openxmlformats.org/officeDocument/2006/relationships/hyperlink" Target="https://nitaac.nih.gov/resources/events/training-events/nitaac-monthly-webex-training-session-1" TargetMode="External"/><Relationship Id="rId63" Type="http://schemas.openxmlformats.org/officeDocument/2006/relationships/hyperlink" Target="mailto:Alerts@feddatacheck.net" TargetMode="External"/><Relationship Id="rId68" Type="http://schemas.openxmlformats.org/officeDocument/2006/relationships/hyperlink" Target="https://www.dau.edu/training" TargetMode="External"/><Relationship Id="rId76" Type="http://schemas.openxmlformats.org/officeDocument/2006/relationships/hyperlink" Target="mailto:,%20or%20Barry" TargetMode="External"/><Relationship Id="rId7" Type="http://schemas.openxmlformats.org/officeDocument/2006/relationships/endnotes" Target="endnotes.xml"/><Relationship Id="rId71" Type="http://schemas.openxmlformats.org/officeDocument/2006/relationships/hyperlink" Target="http://oamp.od.nih.gov/dsaps/bpa-program" TargetMode="External"/><Relationship Id="rId2" Type="http://schemas.openxmlformats.org/officeDocument/2006/relationships/numbering" Target="numbering.xml"/><Relationship Id="rId16" Type="http://schemas.openxmlformats.org/officeDocument/2006/relationships/hyperlink" Target="https://www.gsa.gov/cdnstatic/OLM%20Authorized%20Schedules%20December%202019.pdf" TargetMode="External"/><Relationship Id="rId29" Type="http://schemas.openxmlformats.org/officeDocument/2006/relationships/hyperlink" Target="https://www.acquisition.gov/far/part-13" TargetMode="External"/><Relationship Id="rId11" Type="http://schemas.openxmlformats.org/officeDocument/2006/relationships/hyperlink" Target="https://www.gsa.gov/buying-selling/purchasing-programs/gsa-schedules/selling-through-schedules/roadmap-for-new-schedule-offerors/1-get-ready/available-offerings-and-requirements" TargetMode="External"/><Relationship Id="rId24" Type="http://schemas.openxmlformats.org/officeDocument/2006/relationships/hyperlink" Target="https://www.acquisition.gov/far/part-13" TargetMode="External"/><Relationship Id="rId32" Type="http://schemas.openxmlformats.org/officeDocument/2006/relationships/hyperlink" Target="http://www.acquisition.gov" TargetMode="External"/><Relationship Id="rId37" Type="http://schemas.openxmlformats.org/officeDocument/2006/relationships/image" Target="media/image1.jpeg"/><Relationship Id="rId40" Type="http://schemas.openxmlformats.org/officeDocument/2006/relationships/hyperlink" Target="http://www.gotovao.com" TargetMode="External"/><Relationship Id="rId45" Type="http://schemas.openxmlformats.org/officeDocument/2006/relationships/hyperlink" Target="https://oalmsps.od.nih.gov/OAMP/DSAPS/ASRB/SAPhD/SitePages/Home.aspx" TargetMode="External"/><Relationship Id="rId53" Type="http://schemas.openxmlformats.org/officeDocument/2006/relationships/hyperlink" Target="https://nitaac.nih.gov/resources/events/training-events/nitaac-monthly-webex-training-session-0" TargetMode="External"/><Relationship Id="rId58" Type="http://schemas.openxmlformats.org/officeDocument/2006/relationships/hyperlink" Target="mailto:Nitaacsupport@nih.gov?subject=Industry%20Day" TargetMode="External"/><Relationship Id="rId66" Type="http://schemas.openxmlformats.org/officeDocument/2006/relationships/hyperlink" Target="https://hr.nih.gov/training-center/course-catalog/acquisitions-management" TargetMode="External"/><Relationship Id="rId74" Type="http://schemas.openxmlformats.org/officeDocument/2006/relationships/hyperlink" Target="mailto:McDermottMl@od.nih.gov"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almsps.od.nih.gov/DDO/CDMP/Directory/SitePages/Home.aspx" TargetMode="External"/><Relationship Id="rId10" Type="http://schemas.openxmlformats.org/officeDocument/2006/relationships/hyperlink" Target="https://www.acquisition.gov/content/subpart-538.72-order-level-materials" TargetMode="External"/><Relationship Id="rId19" Type="http://schemas.openxmlformats.org/officeDocument/2006/relationships/hyperlink" Target="https://www.federalregister.gov/documents/2018/01/24/2018-01232/general-services-administration-acquisition-regulation-gsar-federal-supply-schedule-order-level" TargetMode="External"/><Relationship Id="rId31" Type="http://schemas.openxmlformats.org/officeDocument/2006/relationships/hyperlink" Target="https://www.acquisition.gov/far/13.500" TargetMode="External"/><Relationship Id="rId44" Type="http://schemas.openxmlformats.org/officeDocument/2006/relationships/hyperlink" Target="https://oalmsps.od.nih.gov/OAMP/DSAPS/ASRB/SAPhD/Training/Effective%20Receiving%20(Receipt%2C%20Inspection%2C%20and%20Acceptance)%20RIA%20Presentation/Effective%20Receiving%20Training.pptx?d=wfb013958238e4dda985f5df3dd1c7a39" TargetMode="External"/><Relationship Id="rId52" Type="http://schemas.openxmlformats.org/officeDocument/2006/relationships/hyperlink" Target="https://nitaac.nih.gov/resources/events/training-events/nitaac%E2%80%99s-cio-sp3-cio-sp3-small-business-gwac-training-session" TargetMode="External"/><Relationship Id="rId60" Type="http://schemas.openxmlformats.org/officeDocument/2006/relationships/hyperlink" Target="http://www.nitaac.nih.gov" TargetMode="External"/><Relationship Id="rId65" Type="http://schemas.openxmlformats.org/officeDocument/2006/relationships/hyperlink" Target="https://hr.nih.gov/training-center/course-catalog/acquisitions-management" TargetMode="External"/><Relationship Id="rId73" Type="http://schemas.openxmlformats.org/officeDocument/2006/relationships/hyperlink" Target="mailto:NicholaM@od.nih.gov" TargetMode="External"/><Relationship Id="rId78" Type="http://schemas.openxmlformats.org/officeDocument/2006/relationships/hyperlink" Target="mailto:OALMnewsletter@mail.nih.gov" TargetMode="External"/><Relationship Id="rId4" Type="http://schemas.openxmlformats.org/officeDocument/2006/relationships/settings" Target="settings.xml"/><Relationship Id="rId9" Type="http://schemas.openxmlformats.org/officeDocument/2006/relationships/hyperlink" Target="https://www.acquisition.gov/far/part-8" TargetMode="External"/><Relationship Id="rId14" Type="http://schemas.openxmlformats.org/officeDocument/2006/relationships/hyperlink" Target="https://www.gsa.gov/buying-selling/purchasing-programs/gsa-schedules/schedule-features/orderlevel-materials-olms" TargetMode="External"/><Relationship Id="rId22" Type="http://schemas.openxmlformats.org/officeDocument/2006/relationships/hyperlink" Target="https://www.federalregister.gov/documents/2020/10/02/2020-21690/federal-acquisition-regulation-inflation-adjustment-of-acquisition-related-thresholds" TargetMode="External"/><Relationship Id="rId27" Type="http://schemas.openxmlformats.org/officeDocument/2006/relationships/hyperlink" Target="https://www.acquisition.gov/far/part-13" TargetMode="External"/><Relationship Id="rId30" Type="http://schemas.openxmlformats.org/officeDocument/2006/relationships/hyperlink" Target="https://www.acquisition.gov/far/part-13" TargetMode="External"/><Relationship Id="rId35" Type="http://schemas.openxmlformats.org/officeDocument/2006/relationships/hyperlink" Target="https://youtu.be/DJnBmRoKOBA" TargetMode="External"/><Relationship Id="rId43" Type="http://schemas.openxmlformats.org/officeDocument/2006/relationships/hyperlink" Target="https://oalmsps.od.nih.gov/OAMP/DSAPS/ASRB/SAPhD/Training/Effective%20Receiving%20(Receipt,%20Inspection,%20and%20Acceptance)%20RIA%20Presentation/VAO%20CORs%20Guide%20to%20Inspection%20and%20Acceptance.pdf" TargetMode="External"/><Relationship Id="rId48" Type="http://schemas.openxmlformats.org/officeDocument/2006/relationships/hyperlink" Target="https://nitaac.nih.gov/nitaac/contracts/cio-sp3" TargetMode="External"/><Relationship Id="rId56" Type="http://schemas.openxmlformats.org/officeDocument/2006/relationships/hyperlink" Target="mailto:NITAACsupport@nih.gov" TargetMode="External"/><Relationship Id="rId64" Type="http://schemas.openxmlformats.org/officeDocument/2006/relationships/hyperlink" Target="mailto:Alerts@feddatacheck.net" TargetMode="External"/><Relationship Id="rId69" Type="http://schemas.openxmlformats.org/officeDocument/2006/relationships/hyperlink" Target="http://training.cit.nih.gov/list.aspx?catId=14" TargetMode="External"/><Relationship Id="rId77" Type="http://schemas.openxmlformats.org/officeDocument/2006/relationships/hyperlink" Target="mailto:SolomonBJ@od.nih.gov" TargetMode="External"/><Relationship Id="rId8" Type="http://schemas.openxmlformats.org/officeDocument/2006/relationships/hyperlink" Target="https://www.acquisition.gov/far/part-8" TargetMode="External"/><Relationship Id="rId51" Type="http://schemas.openxmlformats.org/officeDocument/2006/relationships/hyperlink" Target="https://nitaac.nih.gov/resources/events/training-events/submit-request" TargetMode="External"/><Relationship Id="rId72" Type="http://schemas.openxmlformats.org/officeDocument/2006/relationships/hyperlink" Target="mailto:BPAProgramBranch@od.nih.gov"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cquisition.gov/far/part-31" TargetMode="External"/><Relationship Id="rId17" Type="http://schemas.openxmlformats.org/officeDocument/2006/relationships/hyperlink" Target="https://www.gsa.gov/cdnstatic/OLM_FAQs_-_101619.pdf" TargetMode="External"/><Relationship Id="rId25" Type="http://schemas.openxmlformats.org/officeDocument/2006/relationships/hyperlink" Target="https://www.acquisition.gov/far/part-2" TargetMode="External"/><Relationship Id="rId33" Type="http://schemas.openxmlformats.org/officeDocument/2006/relationships/hyperlink" Target="https://www.acquisition.gov/content/list-sections-affected" TargetMode="External"/><Relationship Id="rId38" Type="http://schemas.openxmlformats.org/officeDocument/2006/relationships/image" Target="media/image2.jpeg"/><Relationship Id="rId46" Type="http://schemas.openxmlformats.org/officeDocument/2006/relationships/hyperlink" Target="https://cio.egos.nih.gov/" TargetMode="External"/><Relationship Id="rId59" Type="http://schemas.openxmlformats.org/officeDocument/2006/relationships/hyperlink" Target="mailto:NITAACsupport@nih.gov" TargetMode="External"/><Relationship Id="rId67" Type="http://schemas.openxmlformats.org/officeDocument/2006/relationships/hyperlink" Target="http://www.fai.gov/" TargetMode="External"/><Relationship Id="rId20" Type="http://schemas.openxmlformats.org/officeDocument/2006/relationships/hyperlink" Target="https://beta.regulations.gov/document/GSA-GSAR-2016-0016-0007" TargetMode="External"/><Relationship Id="rId41" Type="http://schemas.openxmlformats.org/officeDocument/2006/relationships/hyperlink" Target="https://oalmsps.od.nih.gov/OAMP/DSAPS/ASRB/SAPhD/Training/Effective%20Receiving%20(Receipt,%20Inspection,%20and%20Acceptance)%20RIA%20Presentation/VAO%20CORs%20Guide%20to%20Inspection%20and%20Acceptance.pdf" TargetMode="External"/><Relationship Id="rId54" Type="http://schemas.openxmlformats.org/officeDocument/2006/relationships/hyperlink" Target="https://nitaac.nih.gov/resources/events/training-events/nitaac%E2%80%99s-cio-cs-gwac-training-session" TargetMode="External"/><Relationship Id="rId62" Type="http://schemas.openxmlformats.org/officeDocument/2006/relationships/hyperlink" Target="mailto:Alerts@feddatacheck.net" TargetMode="External"/><Relationship Id="rId70" Type="http://schemas.openxmlformats.org/officeDocument/2006/relationships/hyperlink" Target="http://oalm.od.nih.gov/GreenPurchasingForWebsite" TargetMode="External"/><Relationship Id="rId75" Type="http://schemas.openxmlformats.org/officeDocument/2006/relationships/hyperlink" Target="mailto:Jesse.Lee2@nih.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sa.gov/cdnstatic/OLM%20Training%20October%202019%20Updated.pdf" TargetMode="External"/><Relationship Id="rId23" Type="http://schemas.openxmlformats.org/officeDocument/2006/relationships/hyperlink" Target="https://www.acquisition.gov/far/part-2" TargetMode="External"/><Relationship Id="rId28" Type="http://schemas.openxmlformats.org/officeDocument/2006/relationships/hyperlink" Target="https://www.acquisition.gov/far/part-13" TargetMode="External"/><Relationship Id="rId36" Type="http://schemas.openxmlformats.org/officeDocument/2006/relationships/hyperlink" Target="https://oamp.od.nih.gov/content/nih-path-excellence-innovation-initiative" TargetMode="External"/><Relationship Id="rId49" Type="http://schemas.openxmlformats.org/officeDocument/2006/relationships/hyperlink" Target="https://nitaac.nih.gov/nitaac/contracts/cio-sp3-small-business" TargetMode="External"/><Relationship Id="rId57" Type="http://schemas.openxmlformats.org/officeDocument/2006/relationships/hyperlink" Target="https://nitaac.nih.gov/search/contract-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78DC-A8F9-4FA0-BAD2-115F20E4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Milton (NIH/OD) [E]</dc:creator>
  <cp:keywords/>
  <dc:description/>
  <cp:lastModifiedBy>Ambrose, Alan (NIH/OD) [C]</cp:lastModifiedBy>
  <cp:revision>2</cp:revision>
  <dcterms:created xsi:type="dcterms:W3CDTF">2020-11-24T18:14:00Z</dcterms:created>
  <dcterms:modified xsi:type="dcterms:W3CDTF">2020-11-24T18:14:00Z</dcterms:modified>
</cp:coreProperties>
</file>